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1P.549/2006 vom 26. September 2006</w:t>
      </w:r>
    </w:p>
    <w:p>
      <w:r>
        <w:t>Bundesgericht, 2006-09-26, IT</w:t>
      </w:r>
    </w:p>
    <w:p>
      <w:r>
        <w:rPr>
          <w:b/>
        </w:rPr>
        <w:t xml:space="preserve">Quelle: </w:t>
      </w:r>
      <w:r>
        <w:t>https://mcp.opencaselaw.ch/entscheid/bger_1P.549_2006</w:t>
      </w:r>
    </w:p>
    <w:p>
      <w:r>
        <w:t>FR: TF 1P.549/2006 du 26 septembre 2006</w:t>
      </w:r>
    </w:p>
    <w:p>
      <w:r>
        <w:t>IT: TF 1P.549/2006 del 26 settembre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tassa di giustizia di fr. 1'000.-- è posta a carico dei ricorrenti, in solido.</w:t>
      </w:r>
    </w:p>
    <w:p>
      <w:r>
        <w:rPr>
          <w:b/>
        </w:rPr>
        <w:t>E. 3</w:t>
      </w:r>
    </w:p>
    <w:p>
      <w:r>
        <w:t>Comunicazione alla patrocinatrice dei ricorrenti, al Municipio di Rancate, al Consiglio di Stato e al Tribunale amministrativo del Cantone Ticino.</w:t>
      </w:r>
    </w:p>
    <w:p>
      <w:r>
        <w:t>Losanna, 26 settembre 2006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