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1P.543/2001 vom 1. März 2002</w:t>
      </w:r>
    </w:p>
    <w:p>
      <w:r>
        <w:t>Bundesgericht, 2002-03-01, FR</w:t>
      </w:r>
    </w:p>
    <w:p>
      <w:r>
        <w:rPr>
          <w:b/>
        </w:rPr>
        <w:t xml:space="preserve">Quelle: </w:t>
      </w:r>
      <w:r>
        <w:t>https://mcp.opencaselaw.ch/entscheid/bger_1P.543_2001</w:t>
      </w:r>
    </w:p>
    <w:p>
      <w:r>
        <w:t>FR: TF 1P.543/2001 du 1 mars 2002</w:t>
      </w:r>
    </w:p>
    <w:p>
      <w:r>
        <w:t>IT: TF 1P.543/2001 del 1 marzo 2002</w:t>
      </w:r>
    </w:p>
    <w:p>
      <w:pPr>
        <w:pStyle w:val="Heading2"/>
      </w:pPr>
      <w:r>
        <w:t>Regeste</w:t>
      </w:r>
    </w:p>
    <w:p>
      <w:r>
        <w:t>Procédure pénale</w:t>
      </w:r>
    </w:p>
    <w:p>
      <w:pPr>
        <w:pStyle w:val="Heading2"/>
      </w:pPr>
      <w:r>
        <w:t>Erwägungen</w:t>
      </w:r>
    </w:p>
    <w:p>
      <w:r>
        <w:rPr>
          <w:b/>
        </w:rPr>
        <w:t>E. 1</w:t>
      </w:r>
    </w:p>
    <w:p>
      <w:r>
        <w:t>Selon l' art. 207 ch. 2 CPP val., le prévenu acquitté peut être condamné aux frais s'il a, par sa faute, donné lieu à la poursuite pénale ou l'a rendue plus difficile. Sur la base de cette disposition, les frais d'instruction ont été imputés au recourant à concurrence de 23'000 fr.</w:t>
      </w:r>
    </w:p>
    <w:p>
      <w:r>
        <w:rPr>
          <w:b/>
        </w:rPr>
        <w:t>E. 1.1</w:t>
      </w:r>
    </w:p>
    <w:p>
      <w:r>
        <w:t>En tant que le juge fonde sa décision sur le comportement du prévenu acquitté, le refus d'une indemnité demandée par celui-ci, pour réparation du préjudice causé par le procès pénal, ou sa condamnation à supporter les frais de ce procès, sont des mesures étroitement analogues; elles doivent l'une et l'autre respecter les principes exposés ci-après, qui, selon la jurisprudence, dérivent des droits fondamentaux garantis au prévenu ( ATF 112 Ib 446 consid. 4c p. 456). La présomption d'innocence consacrée par les art. 32 al. 1 Cst. et 6 par. 2 CEDH interdit de prendre une décision défavorable au prévenu acquitté en laissant entendre que celui-ci semble coupable de l'infraction qui lui était reprochée. En outre, la condamnation aux frais ou le refus de l'indemnité ne sont tenus pour compatibles avec l'interdiction de l'arbitraire ( art. 9 Cst. )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 ATF 116 Ia 162 ; voir aussi ATF 119 Ia 332 ; 114 Ia 299 ; CourEDH Leutscher c. Pays-Bas du 26 mars 1996, Rec. 1996 p. 427, ch. 29 et ss). Le juge doit se référer aux principes généraux de la responsabilité délictuelle ( ATF 116 Ia 162 consid. 2c p. 169) et fonder son prononcé sur des faits incontestés ou déjà clairement établis ( ATF 112 Ia 371 consid. 2a in fine p. 374).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 ATF 116 Ia 162 consid. 2d/bb p. 173/174, 109 Ia 160 consid. 4b in fine p. 165).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 ATF 116 Ia 162 consid. 2c p. 169 in medio).</w:t>
      </w:r>
    </w:p>
    <w:p>
      <w:r>
        <w:rPr>
          <w:b/>
        </w:rPr>
        <w:t>E. 1.2</w:t>
      </w:r>
    </w:p>
    <w:p>
      <w:r>
        <w:t>Le Tribunal d'arrondissement a valablement constaté, sur la base des rapports d'expertise, que la comptabilité des trois entreprises concernées n'avait été tenue que de façon gravement lacunaire, et que cela rendait impossible d'élucider la justification de certaines des opérations effectuées par le prévenu. Un comportement illicite de ce dernier, contraire aux art. 957 et ss CO, était ainsi établi. Conformément à la jurisprudence précitée, cela peut être retenu sans violation de la présomption d'innocence, alors même que la prescription de l'action pénale, pour les infractions correspondantes réprimées par les art. 166 ou 325 CP , était échue. Dans la présente procédure, le recourant expose longuement qu'une partie des documents comptables avaient disparu dans un incendie, et que ceux restants ont été plusieurs fois déplacés avant leur examen par l'expert judiciaire; or, ces circonstances ont été discutées dans le rapport complémentaire, et elles ne mettent pas sérieusement en doute que la comptabilité n'ait été tenue que de façon incomplète, ni que cette carence eût son origine dans un comportement négligeant du principal exploitant des trois entreprises. Par exemple, il a été constaté que pour l'année 1989, il n'a été établi qu'une seule comptabilité pour les deux sociétés. On doit présumer que si l'Office des faillites avait pu prendre connaissance de livres de comptabilité complets et conformes aux usages commerciaux, il n'aurait eu aucun motif de soupçonner un comportement répréhensible dans la gestion de ces entreprises, et il n'aurait donc pas adressé de dénonciation au Juge d'instruction pénale. La violation de l'obligation de tenir de tels livres se trouve ainsi à l'origine de la poursuite pénale et, en particulier, des missions d'expertise qui étaient nécessaires, notamment, pour suppléer les lacunes de la comptabilité. Seule l'inculpation d'escroquerie, provoquée par des actionnaires déçus dans leur espoir d'un placement fructueux, ne se trouve peut-être pas en rapport de causalité avec cette violation, mais, quoi qu'il en soit, cette inculpation ne paraît pas avoir joué un rôle suffisamment important, dans l'enquête, pour qu'il s'imposât d'opérer une réduction des frais mis à la charge du prévenu. Celui-ci fait également valoir, à l'appui du recours de droit public, qu'il n'était pas seul responsable de la gestion des sociétés anonymes. D'après le cahier des charges adopté par le conseil d'administration, il lui incombait, notamment, d'établir le budget et le bilan de l'entreprise, et seul un apprenti employé de commerce, également administrateur mais dépourvu de toute expérience, était chargé de diverses tâches en rapport avec la comptabilité; dans ces conditions, il est donc légitime d'attribuer à X.________ une responsabilité prépondérante en ce qui concerne la tenue complète et régulière des comptes. Pour le surplus, la responsabilité propre des autres administrateurs n'a pas été méconnue; au contraire, chacun d'eux a été condamné à supporter 1/12 des frais d'enquête, de sorte que le recourant n'est pas seul chargé de ces frais. L'imputation du montant de 23'000 fr., sur la base de l' art. 207 ch. 2 CPP val., échappe ainsi aux griefs du recours.</w:t>
      </w:r>
    </w:p>
    <w:p>
      <w:r>
        <w:rPr>
          <w:b/>
        </w:rPr>
        <w:t>E. 2</w:t>
      </w:r>
    </w:p>
    <w:p>
      <w:r>
        <w:t>L'arrêt attaqué met à la charge du fisc les frais du jugement par le Tribunal d'arrondissement, à la différence de ceux de l'enquête conduite par le Juge d'instruction. Cette décision entraîne, pour l'Etat, l'obligation de payer aussi les dépens correspondants, au tarif ordinaire de l'avocat du prévenu ( art. 210 ch. 1 CPP val.). Ces dépens ont été taxés à 2'400 fr., alors que l'avocat avait déposé un décompte où il faisait état, sans autres précisions, de frais de photocopies par 840 fr., et d'honoraires par 8'000 fr. Les dépens sont arrêtés globalement et comprennent, outre une indemnité de partie qui n'est pas revendiquée en l'espèce, les débours et les honoraires de l'avocat (art. 3 al. 1 et 3 de la loi fixant le tarif des frais et dépens devant les autorités judiciaires et administratives, ci-après LTar, du 14 mai 1998). Les honoraires sont fixés entre le minimum et le maximum prévus par la loi, TVA comprise, d'après la nature et l'importance de la cause, ses difficultés, l'ampleur du travail, le temps utilement consacré par l'avocat et la situation financière de la partie (art. 26 al. 1 et 3 LTar). Dans des circonstances particulières, les honoraires peuvent être taxés au-dessus ou, au contraire, au-dessous des limites légales (art. 28 al. 1 et 2 LTar). Les honoraires sont ainsi compris, en principe, entre 1'000 et 8'000 fr. pour la procédure devant le Tribunal d'arrondissement ( art. 36 let . f LTar). Ces dispositions de la loi du 14 mai 1998 sont applicables aussi aux procédures pendantes lors de son entrée en vigueur (art. 47 al. 2 LTar). L'avocat a dû préparer les débats sur la base d'un dossier volumineux, qu'il ne connaissait pas encore car le prévenu avait été assisté, au stade de l'enquête, par un autre défenseur. Les faits présentaient une complexité indéniable, bien qu'elle ne fût pas exceptionnelle. A l'issue de débats qui ont duré environ quatre heures, l'avocat a obtenu l'acquittement, soit un résultat très favorable, alors que le Ministère public persistait dans les griefs de l'acte d'accusation et réclamait une peine de quatorze mois d'emprisonnement, avec sursis. Contrairement à l'opinion des juges d'appel, il ne se justifie pas de d'exclure de l'activité utilement consacrée à la cause les questions préliminaires soulevées à l'ouverture des débats, alors même qu'elles n'ont guère influencé la suite du procès. Dans ces conditions, il apparaît invraisemblable que le montant de 2'400 fr., TVA et débours compris, puisse constituer une couverture adéquate des frais d'avocat que le recourant doit réellement supporter pour la procédure devant le Tribunal d'arrondissement; au contraire, ce plaideur est fondé à se plaindre d'une sous-estimation manifeste de ces frais, constitutive d'une application arbitraire des dispositions légales précitées. Le recours de droit public doit donc être admis pour ce motif. Il convient de relever, toutefois, que le montant de 8'000 fr. articulé par l'avocat était, lui, manifestement exagéré.</w:t>
      </w:r>
    </w:p>
    <w:p>
      <w:r>
        <w:rPr>
          <w:b/>
        </w:rPr>
        <w:t>E. 3</w:t>
      </w:r>
    </w:p>
    <w:p>
      <w:r>
        <w:t>Compte tenu que le recourant succombe sur l'un des chefs de la contestation et obtient gain de cause sur l'autre, il se justifie de mettre à sa charge un émolument judiciaire réduit et de lui allouer des dépens, également réduits,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