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1P.536/2004 vom 19. November 2004</w:t>
      </w:r>
    </w:p>
    <w:p>
      <w:r>
        <w:t>Bundesgericht, 2004-11-19, FR</w:t>
      </w:r>
    </w:p>
    <w:p>
      <w:r>
        <w:rPr>
          <w:b/>
        </w:rPr>
        <w:t xml:space="preserve">Quelle: </w:t>
      </w:r>
      <w:r>
        <w:t>https://mcp.opencaselaw.ch/entscheid/bger_1P.536_2004</w:t>
      </w:r>
    </w:p>
    <w:p>
      <w:r>
        <w:t>FR: TF 1P.536/2004 du 19 novembre 2004</w:t>
      </w:r>
    </w:p>
    <w:p>
      <w:r>
        <w:t>IT: TF 1P.536/2004 del 19 novembre 2004</w:t>
      </w:r>
    </w:p>
    <w:p>
      <w:pPr>
        <w:pStyle w:val="Heading2"/>
      </w:pPr>
      <w:r>
        <w:t>Erwägungen</w:t>
      </w:r>
    </w:p>
    <w:p>
      <w:r>
        <w:rPr>
          <w:b/>
        </w:rPr>
        <w:t>E. 1</w:t>
      </w:r>
    </w:p>
    <w:p>
      <w:r>
        <w:t>Le recourant a répliqué sans y avoir été invité. S'il entendait que soit ordonné un deuxième échange d'écritures - qui reste l'exception ( art. 93 al. 2 OJ ) - il devait adresser une demande en ce sens au tribunal. Le procédé consistant à déposer spontanément une réplique non requise n'est pas admissible; partant, l'écriture du 8 octobre 2004 est écartée du dossier.</w:t>
      </w:r>
    </w:p>
    <w:p>
      <w:r>
        <w:rPr>
          <w:b/>
        </w:rPr>
        <w:t>E. 2</w:t>
      </w:r>
    </w:p>
    <w:p>
      <w:r>
        <w:t>Le Tribunal fédéral examine d'office et avec une pleine cognition la recevabilité des recours qui lui sont soumis ( ATF 130 II 249 consid. 2 p. 250, 302 consid. 3 p. 303/304, 306 consid. 1.1 p. 308, 321 consid. 1 p. 324, 388 consid. 1 p. 389, et les arrêts cités). Il n'est pas lié par les conclusions des parties, ni par les moyens qu'elles ont - ou n'ont pas - fait valoir à ce sujet ( ATF 110 Ib 63 consid. 1 p. 65; 109 Ia 61 consid. 1 p. 64; 106 Ia 229 consid. 1 p. 230).</w:t>
      </w:r>
    </w:p>
    <w:p>
      <w:r>
        <w:rPr>
          <w:b/>
        </w:rPr>
        <w:t>E. 3</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t>La décision relative à la suspension de la procédure est de nature incidente, car elle ne met pas fin à la procédure (cf. ATF 129 I 313 consid. 3.2 p. 316/317; 128 I 215 consid. 2 p. 216/217; 123 I 325 consid. 3b p. 327, et les arrêts cités). Toutefois, lorsque le recourant se plaint d'un retard injustifié à statuer, constitutif d'un déni de justice formel, le Tribunal fédéral renonce à l'exigence d'un dommage irréparable au sens de l' art. 87 OJ ( ATF 120 III 143 consid. 2b p. 144). Cette règle s'applique cependant essentiellement dans les cas où la suspension est prononcée sine die, pour une durée indéterminée, lorsque la reprise de la procédure paraît incertaine ou dépend d'événements dont on ne sait pas s'ils se produiront et sur lesquels les parties n'ont aucune prise (arrêt 1P.269/2000 du 18 mai 2000, cité par le recourant).</w:t>
      </w:r>
    </w:p>
    <w:p>
      <w:r>
        <w:t>Or, tel n'est pas le cas en l'espèce. En effet, aucun élément n'est fourni qui serait de nature à faire penser que la procédure PE01.021494-JGA, conduite par le même Juge d'instruction que celui qui a suspendu la procédure PE04.017336-JGA, suivrait un cours incertain ou anormal, menacerait de s'éterniser ou de s'enliser, au point qu'il faudrait admettre que la mesure contestée produirait ses effets indéfiniment ou, du moins, pendant une très longue période.</w:t>
      </w:r>
    </w:p>
    <w:p>
      <w:r>
        <w:t>Au demeurant, le recourant ne se plaint pas d'un retard ou d'un refus à statuer, qui justifierait de déroger à la règle de l' art. 87 al. 2 OJ (cf. ATF 120 III 143 consid. 1b p. 144/145; 117 Ia 336 consid. 1a p. 337/338). Sous l'angle du droit d'être entendu, il se plaint uniquement du retard mis à l'avertir de la première procédure, du délai mis pour le laisser consulter le dossier et du refus d'administrer des preuves. Ces griefs se rapportent à la première procédure et non à celle qui a donné lieu au prononcé de la mesure critiquée.</w:t>
      </w:r>
    </w:p>
    <w:p>
      <w:r>
        <w:rPr>
          <w:b/>
        </w:rPr>
        <w:t>E. 4</w:t>
      </w:r>
    </w:p>
    <w:p>
      <w:r>
        <w:t>Le recours est ainsi irrecevable. Les frais en sont mis à la charge du recourant ( art. 156 OJ ), ainsi qu'une indemnité en faveur de l'intimée Y.________ ( art. 159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