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1P.534/2000 vom 19. April 2000</w:t>
      </w:r>
    </w:p>
    <w:p>
      <w:r>
        <w:t>Bundesgericht, 2000-04-19, DE</w:t>
      </w:r>
    </w:p>
    <w:p>
      <w:r>
        <w:rPr>
          <w:b/>
        </w:rPr>
        <w:t xml:space="preserve">Quelle: </w:t>
      </w:r>
      <w:r>
        <w:t>https://mcp.opencaselaw.ch/entscheid/bger_1P.534_2000</w:t>
      </w:r>
    </w:p>
    <w:p>
      <w:r>
        <w:t>FR: TF 1P.534/2000 du 19 avril 2000</w:t>
      </w:r>
    </w:p>
    <w:p>
      <w:r>
        <w:t>IT: TF 1P.534/2000 del 19 aprile 2000</w:t>
      </w:r>
    </w:p>
    <w:p>
      <w:pPr>
        <w:pStyle w:val="Heading2"/>
      </w:pPr>
      <w:r>
        <w:t>Regeste</w:t>
      </w:r>
    </w:p>
    <w:p>
      <w:r>
        <w:t>Strafprozess</w:t>
      </w:r>
    </w:p>
    <w:p>
      <w:pPr>
        <w:pStyle w:val="Heading2"/>
      </w:pPr>
      <w:r>
        <w:t>Erwägungen</w:t>
      </w:r>
    </w:p>
    <w:p>
      <w:r>
        <w:rPr>
          <w:b/>
        </w:rPr>
        <w:t>E. 3</w:t>
      </w:r>
    </w:p>
    <w:p>
      <w:r>
        <w:t>Sodann rügt der Beschwerdeführer, die Fortdauer der Haft sei unverhältnismässig und verletze Art. 5 Ziff. 3 EMRK und Art. 31 Abs. 3 BV (bzw. Art. 36 Abs. 3 BV ). a) 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124 I 208 E. 6 S. 215 ; 123 I 268 E. 3a S. 273, je mit Hinweisen). b) In seinem Urteil vom 12. Juli 2000 rechnete das Strafgericht des Kantons Basel-Landschaft dem Beschwerdeführer (in Anwendung von Art. 69 StGB ) 399 Tage Untersuchungshaft auf die erstinstanzlich ausgefällte Gefängnisstrafe von 33 Monaten an. Es berücksichtigte dabei die erste Untersuchungshaft in der Schweiz (vom 16. Oktober 1997 bis 12. Januar 1998) sowie die Auslieferungshaft in Deutschland und die anschliessende weitere Untersuchungshaft in der Schweiz (vom 7. September 1999 bis zur Hauptverhandlung vom 12. Juli 2000). Der Beschwerdeführer macht geltend, es sei (über die im Strafurteil vom 12. Juli 2000 angerechnete Haftdauer hinaus) auch noch der in Deutschland erlittenen Untersuchungshaft (vom 6. Juni bis zum 7. September 1999) Rechnung zu tragen. c) Die Frage, welcher Freiheitsentzug dem Beschwerdeführer gemäss Art. 69 StGB als "Untersuchungshaft" auf die allfällige Freiheitsstrafe angerechnet werden kann, ist materiellstrafrechtlicher (sanktionenrechtlicher) Natur. Sie bildet nicht Gegenstand des angefochtenen Entscheides, sondern des hängigen Strafverfahrens. Im vorliegenden strafprozessualen Haftprüfungsverfahren ist - unter dem Gesichtspunkt der angerufenen Garantien von Art. 31 Abs. 3 BV und Art. 5 Ziff. 3 EMRK - zunächst zu prüfen, ob die bisher erlittene strafprozessuale Haft unverhältnismässig erscheint bzw. in grosse Nähe der im Falle einer rechtskräftigen Verurteilung zu erwartenden Strafe gerückt ist. d) Wie bereits im Urteil vom 19. April 2000 (E. 4) dargelegt wurde, ist eine im Ausland erlittene Untersuchungs- bzw. Auslieferungshaft nach der Praxis des Bundesgerichtes grundsätzlich nicht auf die für das schweizerische Haftprüfungsverfahren massgebliche Haftdauer anzurechnen. Aber selbst wenn bei der Prüfung der zulässigen strafprozessualen Haftdauer die in Deutschland erlittene Auslieferungshaft im vorliegenden Fall berücksichtigt würde, wäre die Haftdauer noch nicht in grosse Nähe der zu erwartenden Freiheitsstrafe gerückt. Angesichts der erstinstanzlichen Verurteilung muss der Beschwerdeführer (bei einer Bestätigung des Urteils im Appellationsverfahren) mit einer Strafe von 33 Monaten Gefängnis ernsthaft rechnen. Nicht einmal die im Strafurteil (gestützt auf Art. 69 StGB ) angerechnete Auslieferungs- und Untersuchungshaft von 399 Tagen Dauer bewegt sich in grosser Nähe der zu erwartenden Strafe. Das Analoge gälte, wenn die seit dem Strafurteil vom 12. Juli 2000 absolvierte Sicherheitshaft und sogar die in Deutschland erlittene Untersuchungshaft (vom 6. Juni bis zum 7. September 1999) noch zusätzlich berücksichtigt würden. Der Beschwerdeführer macht denn auch geltend, er habe noch eine Strafe von "maximal 18 Monaten" zu verbüssen. Der Beschwerdeführer macht auch nicht geltend, die kantonalen Behörden hätten das Verfahren nicht ausreichend vorangetrieben. Insbesondere rügt er nicht, das Strafurteil vom 12. Juli 2000 sei nicht innert angemessener Frist (im Sinne von Art. 31 Abs. 3 BV ) ergangen. e) Nach dem Gesagten erweist sich die Rüge der Verletzung von Art. 31 Abs. 3 BV und Art. 5 Ziff. 3 EMRK als unbegründet. 4.-Schliesslich bringt der Beschwerdeführer vor, die Anwendung des kantonalen Strafprozessrechts ( § 78 Abs. 2 lit. b StPO /BL) verstosse im vorliegenden Fall gegen Art. 10 Abs. 2 BV (persönliche Freiheit). a) § 78 Abs. 2 lit. b StPO /BL lautet wie folgt: "Unverhältnismässig ist die Untersuchungshaft insbesondere, wenn sie die Hälfte einer zu erwartenden unbedingt vollziehbaren Freiheitsstrafe oder einen Drittel einer zu erwartenden bedingt vollziehbaren Freiheitsstrafe erreicht hat". b)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 c) Die im vorliegenden Fall zu erwartende (unbedingt vollziehbare) Freiheitsstrafe beträgt angesichts des erstinstanzlichen Urteils 33 Monate. Da die Staatsanwaltschaft (im Gegensatz zum Beschwerdeführer) keine Appellation erklärt hat, kann unbestrittenermassen "nicht von einem höheren" zu erwartenden "Strafmass ausgegangen werden" (angefochtener Entscheid, S. 5). Im angefochtenen Entscheid wurde dem Beschwerdeführer die in der Schweiz absolvierte Untersuchungshaft sowie die Sicherheitshaft bis zum angefochtenen Entscheid (als Untersuchungshaft im Sinne von § 78 Abs. 2 lit. b StPO /BL) angerechnet ("16. Oktober 1997 - 12. Januar 1998 sowie 26. November 1999 - 4. August 2000"). Nicht angerechnet wurde hingegen die Untersuchungs- und Auslieferungshaft in Deutschland. Der Obergerichtspräsident stellte sodann willkürfrei fest, dass die "Haftdauer von 342 Tagen" noch nicht die Hälfte der zu erwartenden Freiheitsstrafe von 33 Monaten erreicht habe. Diese Anwendung des kantonalen Strafprozessrechtes hält vor der Verfassung stand. Sie steht namentlich mit den (in Erwägung 3 dargelegten) Rechtsprechungsgrundsätzen zu Art. 31 Abs. 3 BV und Art. 5 Ziff. 3 EMRK in Einklang. Es ist im Übrigen nicht ersichtlich, inwiefern die Nichtberücksichtigung der Auslieferungshaft bzw. der im Ausland verbüssten Untersuchungshaft auf einer unhaltbaren Auslegung von § 78 Abs. 2 lit. b StPO /BL beruhen soll. d) Wie der Beschwerdeführer im Übrigen selbst vorbringt, hatte er im Zeitpunkt der Einreichung der staatsrechtlichen Beschwerde noch "maximal 18 Monate" zu verbüssen. Die Hälfte der zu erwartenden Freiheitsstrafe von 33 Monaten wäre auch unter diesem Gesichtspunkt noch nicht erreicht gewesen. Der Beschwerdeführer macht denn auch geltend, die "Sicherheitshaft" dürfe "bis maximal 17. Oktober 2000 aufrecht erhalten werden". Die Frage, ob er in einem künftigen Zeitpunkt bzw. "spätestens per 17.10.2000 aus der Haft zu entlassen" sei, ist nicht Gegenstand des angefochtenen Entscheides (vgl. oben, E. 1b). 5.-Zusammenfassend ergibt sich, dass die Beschwerde als unbegründet abzuweisen ist, soweit darauf eingetreten werden kann. Der Beschwerdeführer stellt das Gesuch um unentgeltliche Rechtspflege. Da die gesetzlichen Voraussetzungen bejaht werden können und insbesondere die Bedürftigkeit des Gesuchstellers ausreichend dargelegt erscheint, ist dem Begehren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