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1P.533/2004 vom 30. September 2004</w:t>
      </w:r>
    </w:p>
    <w:p>
      <w:r>
        <w:t>Bundesgericht, 2004-09-30, DE</w:t>
      </w:r>
    </w:p>
    <w:p>
      <w:r>
        <w:rPr>
          <w:b/>
        </w:rPr>
        <w:t xml:space="preserve">Quelle: </w:t>
      </w:r>
      <w:r>
        <w:t>https://mcp.opencaselaw.ch/entscheid/bger_1P.533_2004</w:t>
      </w:r>
    </w:p>
    <w:p>
      <w:r>
        <w:t>FR: TF 1P.533/2004 du 30 septembre 2004</w:t>
      </w:r>
    </w:p>
    <w:p>
      <w:r>
        <w:t>IT: TF 1P.533/2004 del 30 settembre 2004</w:t>
      </w:r>
    </w:p>
    <w:p>
      <w:pPr>
        <w:pStyle w:val="Heading2"/>
      </w:pPr>
      <w:r>
        <w:t>Regeste</w:t>
      </w:r>
    </w:p>
    <w:p>
      <w:r>
        <w:t>Strafprozess</w:t>
      </w:r>
    </w:p>
    <w:p>
      <w:pPr>
        <w:pStyle w:val="Heading2"/>
      </w:pPr>
      <w:r>
        <w:t>Erwägungen</w:t>
      </w:r>
    </w:p>
    <w:p>
      <w:r>
        <w:rPr>
          <w:b/>
        </w:rPr>
        <w:t>E. 1</w:t>
      </w:r>
    </w:p>
    <w:p>
      <w:r>
        <w:t>Ein Bundesgerichtsurteil kann revidiert werden, wenn der Gesuchsteller geltend macht, das Verfahren weise einen Verfahrensmangel im Sinne von Art. 136 OG auf, oder wenn er vorbringt, eine rechtserhebliche Tatsache oder ein entscheidendes Beweismittel im Sinne von Art. 137 OG aufgefunden zu haben, die er im früheren Verfahren nicht beibringen konnte.</w:t>
      </w:r>
    </w:p>
    <w:p>
      <w:r>
        <w:rPr>
          <w:b/>
        </w:rPr>
        <w:t>E. 2</w:t>
      </w:r>
    </w:p>
    <w:p>
      <w:r>
        <w:t>Der Gesuchsteller rügt weder einen Verfahrensmangel im Sinne von Art. 136 OG noch bringt er eine neue, erhebliche Tatsache oder ein neues, entscheidendes Beweismittel im Sinne von Art. 137 OG vor. Er beschränkt sich vielmehr auf eine (heftige) Kritik am bundesgerichtlichen Urteil vom 6. August 2004 und kommt zum Schluss, die diesem zu Grunde liegenden Erwägungen seien offenkundig haltlos und würden damit gegen das Willkürverbot verstossen (Gesuch S. 9 Ziff. 5). Damit macht der Gesuchsteller keinen Revisionsgrund geltend. Ob die 30-tägige Frist des Art. 136 OG eingehalten ist oder nicht, kann unter diesen Umständen offen bleiben.</w:t>
      </w:r>
    </w:p>
    <w:p>
      <w:r>
        <w:rPr>
          <w:b/>
        </w:rPr>
        <w:t>E. 3</w:t>
      </w:r>
    </w:p>
    <w:p>
      <w:r>
        <w:t>Das Revisionsgesuch ist damit abzuweisen. Der Gesuchsteller ist darauf hinzuweisen, dass weitere Eingaben in dieser Sache, mit denen keine Revisionsgründe vorgebracht werden, ohne weitere Korrespondenz abgelegt würden. Unter den gegebenen Umständen rechtfertigt es sich,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