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1P.51/2000 vom 5. Juli 2000</w:t>
      </w:r>
    </w:p>
    <w:p>
      <w:r>
        <w:t>Bundesgericht, 2000-07-05, FR</w:t>
      </w:r>
    </w:p>
    <w:p>
      <w:r>
        <w:rPr>
          <w:b/>
        </w:rPr>
        <w:t xml:space="preserve">Quelle: </w:t>
      </w:r>
      <w:r>
        <w:t>https://mcp.opencaselaw.ch/entscheid/bger_1P.51_2000</w:t>
      </w:r>
    </w:p>
    <w:p>
      <w:r>
        <w:t>FR: TF 1P.51/2000 du 5 juillet 2000</w:t>
      </w:r>
    </w:p>
    <w:p>
      <w:r>
        <w:t>IT: TF 1P.51/2000 del 5 luglio 2000</w:t>
      </w:r>
    </w:p>
    <w:p>
      <w:pPr>
        <w:pStyle w:val="Heading2"/>
      </w:pPr>
      <w:r>
        <w:t>Regeste</w:t>
      </w:r>
    </w:p>
    <w:p>
      <w:r>
        <w:t>Questions de compétences, garantie du juge du domicile et du ...</w:t>
      </w:r>
    </w:p>
    <w:p>
      <w:pPr>
        <w:pStyle w:val="Heading2"/>
      </w:pPr>
      <w:r>
        <w:t>Erwägungen</w:t>
      </w:r>
    </w:p>
    <w:p>
      <w:r>
        <w:rPr>
          <w:b/>
        </w:rPr>
        <w:t>E. 1</w:t>
      </w:r>
    </w:p>
    <w:p>
      <w:r>
        <w:t>a) La garantie d'un tribunal indépendant et impartial instituée par l' art. 6 par. 1 CEDH , à l'instar de la protection conférée par l' art. 30 al. 1 Cst. , permet au plaideur de s'opposer à une application arbitraire des règles cantonales sur l'organisation et la composition des tribunaux, qui comprennent les prescriptions relatives à la récusation des juges. Elle permet aussi, indépendamment du droit cantonal, d'exiger la récusation d'un juge dont la situation ou le comportement est de nature à faire naître un doute sur son impartialité; elle tend notamment à éviter que des circonstances extérieures à la cause ne puissent influencer le jugement en faveur ou au détriment d'une partie. Elle n'impose pas la récusation seulement lorsqu'une prévention effective du juge est établie, car une disposition interne de sa part ne peut guère être prouvée; il suffit que les circonstances donnent l'apparence de la prévention et fassent redouter une activité partiale du magistrat. Seules des circonstances constatées objectivement doivent être prises en considération; les impressions purement individuelles d'une des parties au procès ne sont pas décisives ( ATF 116 Ia 135 consid. 2; voir aussi ATF 125 I 119 consid. 3ap. 122, 124 I 255 consid. 4a p. 261, 120 Ia 184 consid. 2b). Les art. 6 par. 1 CEDH et 30 al. 1 Cst. ne s'appliquent pas à la récusation d'un juge d'instruction ou d'un représentant du ministère public, car ces magistrats, pour l'essentiel confinés à des tâches d'instruction ou à un rôle d'accusateur public, n'exercent pas de fonction de juge au sens étroit ( ATF 124 I 76 , 119 Ia 13 consid. 3a p. 16, 118 Ia 95 consid. 3b p. 98). L' art. 29 al. 1 Cst. assure toutefois, en dehors du champ d'application des règles précitées, une garantie de même portée (jurisprudence relative à l' art. 4 aCst. : ATF 125 I 119 consid. 3b p. 123 et les arrêts cités), à ceci près que cette disposition, à la différence desdites règles, n'impose pas l'indépendance et l'impartialité comme maxime d'organisation des autorités auxquelles elle s'applique (ibidem, consid. 3f p. 124). b) Selon la jurisprudence, le droit à un juge impartial n'est pas violé lorsqu'un recours est admis et que la cause est renvoyée au juge qui a pris la décision invalide; d'ordinaire, on peut attendre de ce juge qu'il continue de traiter l'affaire de manière impartiale et objective, en se conformant aux motifs de l'arrêt rendu sur recours, et il n'est pas suspect de prévention du seul fait qu'il a erré dans l'application du droit ( ATF 113 Ia 407 consid. 2b p. 410; voir aussi ATF 117 Ia 157 consid. 2b in fine p. 162, 114 Ia 50 consid. 3d p. 58). Seules des erreurs particulièrement lourdes ou répétées, constituant des violations graves de ses devoirs, peuvent justifier le soupçon de parti pris. La fonction judiciaire oblige le magistrat à se déterminer sur des éléments souvent contestés et délicats; c'est pourquoi, même si elles se révèlent viciées, des mesures inhérentes à l'exercice normal de sa charge ne permettent pas d'exiger sa récusation ( ATF 116 Ia 135 consid. 3a p. 138; voir aussi ATF 125 I 119 consid. 3e p. 124).</w:t>
      </w:r>
    </w:p>
    <w:p>
      <w:r>
        <w:rPr>
          <w:b/>
        </w:rPr>
        <w:t>E. 2</w:t>
      </w:r>
    </w:p>
    <w:p>
      <w:r>
        <w:t>Il convient d'examiner, sur la base de ces principes, les critiques que le recourant adresse au Juge d'instruction Addor. a) Selon le recourant, le magistrat intimé a violé les règles de l'instruction contradictoire en procédant à des auditions sans aucune convocation du prévenu ni de son conseil, ou sans faire amener le prévenu alors en détention. A plusieurs reprises, par des décisions formelles fondées sur l' art. 53 ch. 4 CPP val. , le juge a restreint le droit d'accès au dossier et a aussi, dans le cas de l'interrogatoire de E.________, suspendu l'instruction contradictoire. Or, la plupart de ces mesures ont été jugées disproportionnées par la Chambre pénale. Le juge a encore restreint l'accès à certaines pièces, soit la comptabilité de B.________, sans respecter la procédure de l' art. 53 ch. 4 CPP val. On ne saurait non plus exclure - mais cela n'est pas établi - que certaines parties du dossier, quand il n'en existait aucun bordereau, n'aient simplement pas été remises à l'avocat. Il s'agit d'erreurs nombreuses et réitérées, qui dénotent une tendance du juge à conduire l'enquête sans tenir dûment compte des garanties que l'ordre constitutionnel ou légal confère à la personne poursuivie. Elles compromettent l'exercice de droits procéduraux essentiels du prévenu, tels le droit d'interroger ou de faire interroger les témoins à charge ( art. 6 par. 3 let . d CEDH), qui font partie des "facilités nécessaires à la préparation de [la] défense" garanties par l' art. 6 par. 3 let. b CEDH , dans la mesure où les opérations de l'instruction préparatoire conditionnent aussi la suite du procès (rapport de la Commission européenne des droits de l'homme dans la cause Can c. Autriche, du 12 juillet 1984, ch. 47 à 49, publié in série A n° 96, p. 14). Le Juge d'instruction a en outre commis une irrégularité supplémentaire en autorisant d'emblée, sans interpellation préalable des prévenus, le service cantonal des contributions à prendre connaissance du dossier. En raison de leur caractère répété, ces erreurs créent objectivement l'apparence de la partialité. A cela s'ajoute que l'avocat n'était pas averti dès que possible du moment où le juge procéderait à une audition; celles-ci lui étaient au contraire annoncées d'une façon qui ne lui permettait pas d'organiser son temps conformément aux nécessités de sa profession. Le dossier révèle que l'audition du témoin F.________, le 26 mai 1999, annoncée le jour même à l'avocat, avait pourtant été fixée le 10 précédant déjà. Sans être contredit, le recourant affirme que le juge a téléphoné à l'étude d'un des autres défenseurs le 2 juin 1999, pour fixer une date d'audition, mais ne s'est pas préoccupé des disponibilités de son propre avocat. Cette attitude du Juge d'instruction peut objectivement être perçue comme déloyale à l'égard du prévenu ou son avocat; elle suscite à tout le moins le soupçon d'un parti pris. Enfin, les personnes convoquées n'étaient fréquemment pas informées de la qualité en laquelle elles étaient entendues. Bien que cette information ne soit pas expressément exigée par la loi quand la convocation n'intervient pas sous la forme d'un mandat de comparution (cf. art. 16 ch. 3 let . d CPP val.), son omission peut placer la personne concernée dans une situation équivoque. Au regard du droit international, l'envoi à l'étranger - dans quelques cas - de l'invitation à prendre contact avec la police judiciaire prête aussi à discussion. Dans le contexte particulier d'une enquête entachée de nombreuses violations des droits de la défense, ces procédés douteux corroborent l'impression que le Juge d'instruction, apparemment convaincu de la culpabilité du prévenu, était déterminé à la mettre en évidence par tous moyens, nonobstant le risque de violer le droit; or, il s'agit d'une attitude essentiellement partiale. La récusation de ce magistrat s'imposait donc au regard de l' art. 29 al. 1 Cst. , de sorte que le recours de droit public doit être admis pour violation de cette disposition. b) Le Tribunal fédéral ne doit pas négliger le fait que la récusation du Juge d'instruction Addor, à ce stade de la procédure, pourrait entraîner un retard dans la suite des opérations, et porter ainsi atteinte à une autre exigence des art. 29 al. 1 Cst. et 6 par. 1 CEDH: le droit de toute personne que sa cause soit traitée et jugée dans un délai raisonnable. Cet inconvénient apparaît toutefois moindre que celui résultant de la suspicion de partialité du Juge d'instruction, qui risquerait, si elle n'était pas sanctionnée, de jeter une ombre sur l'équité du procès; or, cette exigence-ci est, dans le contexte spécifique de l'affaire, prioritaire.</w:t>
      </w:r>
    </w:p>
    <w:p>
      <w:r>
        <w:rPr>
          <w:b/>
        </w:rPr>
        <w:t>E. 3</w:t>
      </w:r>
    </w:p>
    <w:p>
      <w:r>
        <w:t>Du 8 au 11 octobre 1999, le recourant a introduit, outre la demande de récusation, deux autres instances dirigées contre le juge Addor, tendant respectivement à une sanction disciplinaire et à la suppression de certains procès-verbaux. Contrairement à son opinion, ces démarches-ci n'ont aucune incidence sur le bien-fondé de la récusation. Dans ces conditions, le recourant se plaint à tort d'une violation de son droit d'être entendu.</w:t>
      </w:r>
    </w:p>
    <w:p>
      <w:r>
        <w:rPr>
          <w:b/>
        </w:rPr>
        <w:t>E. 4</w:t>
      </w:r>
    </w:p>
    <w:p>
      <w:r>
        <w:t>Le recourant qui obtient gain de cause a droit à des dépens, à la charge du canton du Valais.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