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1P.502/1999 vom 17. Februar 2000</w:t>
      </w:r>
    </w:p>
    <w:p>
      <w:r>
        <w:t>Bundesgericht, 2000-02-17, DE</w:t>
      </w:r>
    </w:p>
    <w:p>
      <w:r>
        <w:rPr>
          <w:b/>
        </w:rPr>
        <w:t xml:space="preserve">Quelle: </w:t>
      </w:r>
      <w:r>
        <w:t>https://mcp.opencaselaw.ch/entscheid/bger_1P.502_1999</w:t>
      </w:r>
    </w:p>
    <w:p>
      <w:r>
        <w:t>FR: TF 1P.502/1999 du 17 février 2000</w:t>
      </w:r>
    </w:p>
    <w:p>
      <w:r>
        <w:t>IT: TF 1P.502/1999 del 17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ist aus den gleichen Gründen und</w:t>
      </w:r>
    </w:p>
    <w:p>
      <w:r>
        <w:t>im gleichen Umfang einzutreten wie beim Urteil des Bundesge-</w:t>
      </w:r>
    </w:p>
    <w:p>
      <w:r>
        <w:t>richts vom 14. Juli 1998. An der Legitimation des Beschwer-</w:t>
      </w:r>
    </w:p>
    <w:p>
      <w:r>
        <w:t>deführers hat sich nichts geändert. Es erübrigt sich des-</w:t>
      </w:r>
    </w:p>
    <w:p>
      <w:r>
        <w:t>halb, sie neu zu prüfen, obwohl sie von der Beschwerdegeg-</w:t>
      </w:r>
    </w:p>
    <w:p>
      <w:r>
        <w:t>nerin "vorsorglich" bestritten wird.</w:t>
      </w:r>
    </w:p>
    <w:p>
      <w:r>
        <w:rPr>
          <w:b/>
        </w:rPr>
        <w:t>E. 2</w:t>
      </w:r>
    </w:p>
    <w:p>
      <w:r>
        <w:t>Der Beschwerdeführer wirft dem Verwaltungsgericht</w:t>
      </w:r>
    </w:p>
    <w:p>
      <w:r>
        <w:t>erneut vor, seine Begründungspflicht verletzt zu haben, in-</w:t>
      </w:r>
    </w:p>
    <w:p>
      <w:r>
        <w:t>dem es für die Darstellung des Sachverhaltes praktisch aus-</w:t>
      </w:r>
    </w:p>
    <w:p>
      <w:r>
        <w:t>schliesslich auf den Entscheid der Baudirektion vom 23. Sep-</w:t>
      </w:r>
    </w:p>
    <w:p>
      <w:r>
        <w:t>tember 1997 verwiesen habe, welcher den Sachverhalt zu knapp</w:t>
      </w:r>
    </w:p>
    <w:p>
      <w:r>
        <w:t>wiedergebe.</w:t>
      </w:r>
    </w:p>
    <w:p>
      <w:r>
        <w:t>Das Bundesgericht hat diese Rüge bereits in seinem</w:t>
      </w:r>
    </w:p>
    <w:p>
      <w:r>
        <w:t>Entscheid vom 14. Juli 1998 als unbegründet zurückgewiesen</w:t>
      </w:r>
    </w:p>
    <w:p>
      <w:r>
        <w:t>(E. 2c). Darauf ist zu verweisen ( Art. 36a Abs. 3 OG ).</w:t>
      </w:r>
    </w:p>
    <w:p>
      <w:r>
        <w:rPr>
          <w:b/>
        </w:rPr>
        <w:t>E. 3</w:t>
      </w:r>
    </w:p>
    <w:p>
      <w:r>
        <w:t>Nach Auffassung des Verwaltungsgerichts erlosch die</w:t>
      </w:r>
    </w:p>
    <w:p>
      <w:r>
        <w:t>Rechtskraft des Gestaltungsplanes "Hansmatt Nord-Ost" am</w:t>
      </w:r>
    </w:p>
    <w:p>
      <w:r>
        <w:t>29. Juni 1995 von Gesetzes wegen und konnte auch vom Gesetz-</w:t>
      </w:r>
    </w:p>
    <w:p>
      <w:r>
        <w:t>bzw. Verordnungsgeber wegen des strikten Rückwirkungsver-</w:t>
      </w:r>
    </w:p>
    <w:p>
      <w:r>
        <w:t>botes von Art. 5 KV nachträglich nicht wieder in Kraft ge-</w:t>
      </w:r>
    </w:p>
    <w:p>
      <w:r>
        <w:t>setzt werden. Der Beschwerdeführer rügt diese Auslegung des</w:t>
      </w:r>
    </w:p>
    <w:p>
      <w:r>
        <w:t>kantonalen Rechts als willkürlich.</w:t>
      </w:r>
    </w:p>
    <w:p>
      <w:r>
        <w:t>a) Willkürlich ist ein Entscheid, der mit der tat-</w:t>
      </w:r>
    </w:p>
    <w:p>
      <w:r>
        <w:t>sächlichen Situation in klarem Widerspruch steht, eine Norm</w:t>
      </w:r>
    </w:p>
    <w:p>
      <w:r>
        <w:t>oder einen unumstrittenen Rechtsgrundsatz krass verletzt</w:t>
      </w:r>
    </w:p>
    <w:p>
      <w:r>
        <w:t>oder in stossender Weise dem Gerechtigkeitsgedanken zuwider-</w:t>
      </w:r>
    </w:p>
    <w:p>
      <w:r>
        <w:t>läuft. Dabei genügt es nicht, dass die Begründung unhaltbar</w:t>
      </w:r>
    </w:p>
    <w:p>
      <w:r>
        <w:t>ist, der Entscheid muss sich vielmehr im Ergebnis als will-</w:t>
      </w:r>
    </w:p>
    <w:p>
      <w:r>
        <w:t>kürlich erweisen ( BGE 125 I 166 E. 2a S. 168 ; 124 I 247 E. 5</w:t>
      </w:r>
    </w:p>
    <w:p>
      <w:r>
        <w:t>S. 250, je mit Hinweisen).</w:t>
      </w:r>
    </w:p>
    <w:p>
      <w:r>
        <w:t>b) Nach der Rechtsprechung des Bundesgerichts bie-</w:t>
      </w:r>
    </w:p>
    <w:p>
      <w:r>
        <w:t>tet das aus Art. 4 aBV abgeleitete Rückwirkungsverbot grund-</w:t>
      </w:r>
    </w:p>
    <w:p>
      <w:r>
        <w:t>sätzlich nur Schutz vor der Anwendung einer gesetzlichen</w:t>
      </w:r>
    </w:p>
    <w:p>
      <w:r>
        <w:t>Ordnung, die an ein Ereignis anknüpft, das vor deren Erlass</w:t>
      </w:r>
    </w:p>
    <w:p>
      <w:r>
        <w:t>abgeschlossen worden ist. Eine unerlaubte Rückwirkung liegt</w:t>
      </w:r>
    </w:p>
    <w:p>
      <w:r>
        <w:t>hingegen nicht vor, wenn der Gesetzgeber auf Verhältnisse</w:t>
      </w:r>
    </w:p>
    <w:p>
      <w:r>
        <w:t>abstellt, die zwar unter der Herrschaft des alten Rechts</w:t>
      </w:r>
    </w:p>
    <w:p>
      <w:r>
        <w:t>entstanden sind, beim Inkrafttreten des neuen Rechts aber</w:t>
      </w:r>
    </w:p>
    <w:p>
      <w:r>
        <w:t>noch andauern. Es ist somit nicht verboten, zeitlich offene</w:t>
      </w:r>
    </w:p>
    <w:p>
      <w:r>
        <w:t>Dauersachverhalte für die Zukunft neuen Rechtsfolgen zu</w:t>
      </w:r>
    </w:p>
    <w:p>
      <w:r>
        <w:t>unterstellen, sofern dem nicht wohlerworbene Rechte entge-</w:t>
      </w:r>
    </w:p>
    <w:p>
      <w:r>
        <w:t>genstehen ( BGE 122 II 113 E. 3b/dd S. 124 mit Hinweisen).</w:t>
      </w:r>
    </w:p>
    <w:p>
      <w:r>
        <w:t>c) Nach der Auffassung des Verwaltungsgerichts im</w:t>
      </w:r>
    </w:p>
    <w:p>
      <w:r>
        <w:t>angefochtenen Entscheid war die Überbaubarkeit des Gestal-</w:t>
      </w:r>
    </w:p>
    <w:p>
      <w:r>
        <w:t>tungsplan-Gebietes bis zum 29. Juni 1995 vom Gestaltungsplan</w:t>
      </w:r>
    </w:p>
    <w:p>
      <w:r>
        <w:t>"Hansmatt Nord-Ost" geregelt. Nach dessen Dahinfallen galten</w:t>
      </w:r>
    </w:p>
    <w:p>
      <w:r>
        <w:t>die allgemeinen Bau- und Zonenvorschriften, bis mit den am</w:t>
      </w:r>
    </w:p>
    <w:p>
      <w:r>
        <w:t>15. September 1995 in Kraft getretenen §§ 202, 202a, 202b</w:t>
      </w:r>
    </w:p>
    <w:p>
      <w:r>
        <w:t>und 202c aBauV95 die Gemeinderäte verpflichtet wurden, alle</w:t>
      </w:r>
    </w:p>
    <w:p>
      <w:r>
        <w:t>altrechtlichen, noch nicht dem neuen Recht angepassten Ge-</w:t>
      </w:r>
    </w:p>
    <w:p>
      <w:r>
        <w:t>staltungspläne zu überprüfen und zu entscheiden, ob sie auf-</w:t>
      </w:r>
    </w:p>
    <w:p>
      <w:r>
        <w:t>zuheben oder in Kraft zu lassen seien. Für das Verwaltungs-</w:t>
      </w:r>
    </w:p>
    <w:p>
      <w:r>
        <w:t>gericht stellt diese Übergangsregelung eine verfassungs-</w:t>
      </w:r>
    </w:p>
    <w:p>
      <w:r>
        <w:t>rechtliche verpönte Rückwirkung dar, weil der Gestaltungs-</w:t>
      </w:r>
    </w:p>
    <w:p>
      <w:r>
        <w:t>plan "Hansmatt Nord-Ost" im Zeitpunkt ihrer In-Kraft-Setzung</w:t>
      </w:r>
    </w:p>
    <w:p>
      <w:r>
        <w:t>bereits dahingefallen war.</w:t>
      </w:r>
    </w:p>
    <w:p>
      <w:r>
        <w:t>d) Die Auffassung des Verwaltungsgerichts, die</w:t>
      </w:r>
    </w:p>
    <w:p>
      <w:r>
        <w:t>allfällige Wieder-In-Kraft-Setzung des altrechtlichen Ge-</w:t>
      </w:r>
    </w:p>
    <w:p>
      <w:r>
        <w:t>staltungsplanes "Hansmatt Nord-Ost" stelle eine verfassungs-</w:t>
      </w:r>
    </w:p>
    <w:p>
      <w:r>
        <w:t>rechtlich verpönte Rückwirkung dar, ist offensichtlich un-</w:t>
      </w:r>
    </w:p>
    <w:p>
      <w:r>
        <w:t>haltbar. Eine Rückwirkungsproblematik im Sinne von Art. 4</w:t>
      </w:r>
    </w:p>
    <w:p>
      <w:r>
        <w:t>aBV und Art. 5 KV ist darin schlechterdings nicht erkennbar:</w:t>
      </w:r>
    </w:p>
    <w:p>
      <w:r>
        <w:t>Nach den §§ 202 ff. aBauV95 hat der Gemeinderat zu</w:t>
      </w:r>
    </w:p>
    <w:p>
      <w:r>
        <w:t>prüfen, wie die (ehemaligen) Gestaltungsplan-Gebiete - und</w:t>
      </w:r>
    </w:p>
    <w:p>
      <w:r>
        <w:t>zwar für die Zukunft - bau- und zonenrechtlich behandelt</w:t>
      </w:r>
    </w:p>
    <w:p>
      <w:r>
        <w:t>werden sollen, ob sie, vorbehaltlos oder mit gewissen Anpas-</w:t>
      </w:r>
    </w:p>
    <w:p>
      <w:r>
        <w:t>sungen, den allgemeinen Bau- und Zonenvorschriften zu unter-</w:t>
      </w:r>
    </w:p>
    <w:p>
      <w:r>
        <w:t>stellen oder ob sie weiterhin einem besonderen Gestaltungs-</w:t>
      </w:r>
    </w:p>
    <w:p>
      <w:r>
        <w:t>plan zu unterwerfen seien. Selbst wenn der Gemeinderat zum</w:t>
      </w:r>
    </w:p>
    <w:p>
      <w:r>
        <w:t>Schluss kommen sollte, den altrechtlichen Zonenplan tel quel</w:t>
      </w:r>
    </w:p>
    <w:p>
      <w:r>
        <w:t>ins neue Recht zu überführen bzw. wieder aufleben zu lassen,</w:t>
      </w:r>
    </w:p>
    <w:p>
      <w:r>
        <w:t>so würde darin keine Rückwirkung im Sinne von Art. 4 BV bzw.</w:t>
      </w:r>
    </w:p>
    <w:p>
      <w:r>
        <w:t>Art. 5 KV liegen, sondern eine für die Zukunft geltende Än-</w:t>
      </w:r>
    </w:p>
    <w:p>
      <w:r>
        <w:t>derung der bau- und zonenrechtlichen Bestimmungen, wie sie</w:t>
      </w:r>
    </w:p>
    <w:p>
      <w:r>
        <w:t>unter dem Vorbehalt wohlerworbener Rechte ohne weiteres zu-</w:t>
      </w:r>
    </w:p>
    <w:p>
      <w:r>
        <w:t>lässig ist (vorn E. 3b). Der Umstand, dass der Erlass der</w:t>
      </w:r>
    </w:p>
    <w:p>
      <w:r>
        <w:t>Übergangsregelung von §§ 202 ff. aBauV95 (wenig koordiniert)</w:t>
      </w:r>
    </w:p>
    <w:p>
      <w:r>
        <w:t>erst nach dem Dahinfallen des altrechtlichen Gestaltungs-</w:t>
      </w:r>
    </w:p>
    <w:p>
      <w:r>
        <w:t>plans "Hansmatt Nord-Ost" erfolgte, ändert daran grundsätz-</w:t>
      </w:r>
    </w:p>
    <w:p>
      <w:r>
        <w:t>lich nichts, sondern hat nur zur Folge, dass die auf das</w:t>
      </w:r>
    </w:p>
    <w:p>
      <w:r>
        <w:t>Gebiet des ehemaligen Gestaltungsplans "Hansmatt Nord-Ost"</w:t>
      </w:r>
    </w:p>
    <w:p>
      <w:r>
        <w:t>anwendbare baurechtliche Ordnung allenfalls innert kurzer</w:t>
      </w:r>
    </w:p>
    <w:p>
      <w:r>
        <w:t>Zeit zweimal geändert wird. Von einer rückwirkenden Anwen-</w:t>
      </w:r>
    </w:p>
    <w:p>
      <w:r>
        <w:t>dung baurechtlicher Bestimmungen kann indessen keine Rede</w:t>
      </w:r>
    </w:p>
    <w:p>
      <w:r>
        <w:t>sein.</w:t>
      </w:r>
    </w:p>
    <w:p>
      <w:r>
        <w:rPr>
          <w:b/>
        </w:rPr>
        <w:t>E. 4</w:t>
      </w:r>
    </w:p>
    <w:p>
      <w:r>
        <w:t>a) Sind aber die §§ 202 ff. aBauV95 sowie die</w:t>
      </w:r>
    </w:p>
    <w:p>
      <w:r>
        <w:t>§§ 96 ff. BauV nicht wegen des Rückwirkungsverbotes verfas-</w:t>
      </w:r>
    </w:p>
    <w:p>
      <w:r>
        <w:t>sungswidrig, so war der Gemeinderat Stans gehalten, über das</w:t>
      </w:r>
    </w:p>
    <w:p>
      <w:r>
        <w:t>weitere bau- und zonenrechtliche Schicksal des ehemaligen</w:t>
      </w:r>
    </w:p>
    <w:p>
      <w:r>
        <w:t>Gestaltungsplan-Gebietes zu befinden, selbst wenn die Auf-</w:t>
      </w:r>
    </w:p>
    <w:p>
      <w:r>
        <w:t>hebung des Gestaltungsplanes "Hansmatt Nord-Ost" unnötig</w:t>
      </w:r>
    </w:p>
    <w:p>
      <w:r>
        <w:t>war, weil er im damaligen Zeitpunkt (am 24. Juni bzw. am</w:t>
      </w:r>
    </w:p>
    <w:p>
      <w:r>
        <w:rPr>
          <w:b/>
        </w:rPr>
        <w:t>E. 7</w:t>
      </w:r>
    </w:p>
    <w:p>
      <w:r>
        <w:t>Oktober 1996) nach der Auffassung der Baudirektion und</w:t>
      </w:r>
    </w:p>
    <w:p>
      <w:r>
        <w:t>des Verwaltungsgerichtes bereits nicht mehr in Kraft war. In</w:t>
      </w:r>
    </w:p>
    <w:p>
      <w:r>
        <w:t>der Sache ergibt sich aus diesem Entscheid ebenso wie aus</w:t>
      </w:r>
    </w:p>
    <w:p>
      <w:r>
        <w:t>demjenigen der Baudirektion, dass für dieses Gebiet zukünf-</w:t>
      </w:r>
    </w:p>
    <w:p>
      <w:r>
        <w:t>tig die allgemeinen bau- und zonenrechtlichen Vorschriften</w:t>
      </w:r>
    </w:p>
    <w:p>
      <w:r>
        <w:t>gelten sollen.</w:t>
      </w:r>
    </w:p>
    <w:p>
      <w:r>
        <w:t>Der Beschwerdeführer verlangte in der Sache, dass</w:t>
      </w:r>
    </w:p>
    <w:p>
      <w:r>
        <w:t>die noch zulässigen Nutzungen dieses Gebietes einlässlich</w:t>
      </w:r>
    </w:p>
    <w:p>
      <w:r>
        <w:t>geregelt würden, da er befürchtet, dass sonst in Zukunft</w:t>
      </w:r>
    </w:p>
    <w:p>
      <w:r>
        <w:t>Flächen, deren Ausnutzung bereits für bestehende Bauten aus-</w:t>
      </w:r>
    </w:p>
    <w:p>
      <w:r>
        <w:t>geschöpft wurde, für neue Bauvorhaben wiederum herangezogen</w:t>
      </w:r>
    </w:p>
    <w:p>
      <w:r>
        <w:t>werden könnten. Das halten Gemeinderat und Baudirektion für</w:t>
      </w:r>
    </w:p>
    <w:p>
      <w:r>
        <w:t>unnötig, weil dem Gemeinderat die bisherige Überbauung des</w:t>
      </w:r>
    </w:p>
    <w:p>
      <w:r>
        <w:t>Gestaltungsplan-Gebietes bekannt sei und er aufgrund seiner</w:t>
      </w:r>
    </w:p>
    <w:p>
      <w:r>
        <w:t>Akten in der Lage sei, bei allfälligen neuen Baugesuchen zu</w:t>
      </w:r>
    </w:p>
    <w:p>
      <w:r>
        <w:t>verhindern, dass Grundstücksflächen, deren Ausnutzung be-</w:t>
      </w:r>
    </w:p>
    <w:p>
      <w:r>
        <w:t>reits in bestehenden Gebäuden realisiert worden sei, erneut</w:t>
      </w:r>
    </w:p>
    <w:p>
      <w:r>
        <w:t>für die Berechnung der noch zulässigen Ausnutzung herange-</w:t>
      </w:r>
    </w:p>
    <w:p>
      <w:r>
        <w:t>zogen würden. Diese Streitfrage wird das Verwaltungsgericht</w:t>
      </w:r>
    </w:p>
    <w:p>
      <w:r>
        <w:t>bei seinem neuen Entscheid in dieser Sache materiell zu ent-</w:t>
      </w:r>
    </w:p>
    <w:p>
      <w:r>
        <w:t>scheiden haben.</w:t>
      </w:r>
    </w:p>
    <w:p>
      <w:r>
        <w:t>b) Nach dem Gesagten ist die Beschwerde gutzuheis-</w:t>
      </w:r>
    </w:p>
    <w:p>
      <w:r>
        <w:t>sen, soweit darauf einzutreten ist. Bei diesem Ausgang des</w:t>
      </w:r>
    </w:p>
    <w:p>
      <w:r>
        <w:t>Verfahrens hat die Beschwerdegegnerin die Kosten zu tragen</w:t>
      </w:r>
    </w:p>
    <w:p>
      <w:r>
        <w:t>( Art. 156 Abs. 1 OG ). Ausserdem hat sie dem anwaltlich ver-</w:t>
      </w:r>
    </w:p>
    <w:p>
      <w:r>
        <w:t>tretenen Beschwerdeführer eine angemessene Parteientschädi-</w:t>
      </w:r>
    </w:p>
    <w:p>
      <w:r>
        <w:t>gung zu bezahlen ( Art. 159 Abs. 1 und 2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