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1P.4/2003 vom 2. Mai 2003</w:t>
      </w:r>
    </w:p>
    <w:p>
      <w:r>
        <w:t>Bundesgericht, 2003-05-02, FR</w:t>
      </w:r>
    </w:p>
    <w:p>
      <w:r>
        <w:rPr>
          <w:b/>
        </w:rPr>
        <w:t xml:space="preserve">Quelle: </w:t>
      </w:r>
      <w:r>
        <w:t>https://mcp.opencaselaw.ch/entscheid/bger_1P.4_2003</w:t>
      </w:r>
    </w:p>
    <w:p>
      <w:r>
        <w:t>FR: TF 1P.4/2003 du 2 mai 2003</w:t>
      </w:r>
    </w:p>
    <w:p>
      <w:r>
        <w:t>IT: TF 1P.4/2003 del 2 maggio 2003</w:t>
      </w:r>
    </w:p>
    <w:p>
      <w:pPr>
        <w:pStyle w:val="Heading2"/>
      </w:pPr>
      <w:r>
        <w:t>Regeste</w:t>
      </w:r>
    </w:p>
    <w:p>
      <w:r>
        <w:t>Procédure pénale</w:t>
      </w:r>
    </w:p>
    <w:p>
      <w:pPr>
        <w:pStyle w:val="Heading2"/>
      </w:pPr>
      <w:r>
        <w:t>Erwägungen</w:t>
      </w:r>
    </w:p>
    <w:p>
      <w:r>
        <w:rPr>
          <w:b/>
        </w:rPr>
        <w:t>E. 1.1</w:t>
      </w:r>
    </w:p>
    <w:p>
      <w:r>
        <w:t>Selon la jurisprudence relative à l' art. 88 OJ , celui qui se prétend lésé par une infraction n'a en principe pas qualité pour former un recours de droit public contre les ordonnances refusant d'inculper l'auteur présumé, ou prononçant un classement ou un non-lieu en sa faveur. En effet, l'action pénale appartient exclusivement à la collectivité publique et, en règle générale, le plaignant ou la plaignante n'a qu'un simple intérêt de fait à obtenir que cette action soit effectivement mise en oeuvre. Un intérêt juridiquement protégé, propre à conférer la qualité pour recourir, est toutefois reconnu au plaideur qui se prétend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128 I 218 consid. 1.1 p. 219; 121 IV 317 consid. 3 p. 323, 120 Ia 101 consid. 2f p. 109). En l'espèce, la recourante fait état d'une atteinte prolongée à son intégrité sexuelle et psychique et il est évident que devant le Tribunal correctionnel, si cette juridiction devait connaître de la cause, elle pourrait réclamer la condamnation de l'auteur présumé au versement d'une réparation morale. Dans ces conditions, contrairement à l'opinion de l'intimé, il est sans importance qu'elle n'ait pas pris de conclusions civiles déjà au stade de l'enquête ( ATF 127 IV 185 consid. 1a p. 187 in medio).</w:t>
      </w:r>
    </w:p>
    <w:p>
      <w:r>
        <w:rPr>
          <w:b/>
        </w:rPr>
        <w:t>E. 1.2</w:t>
      </w:r>
    </w:p>
    <w:p>
      <w:r>
        <w:t>Dans le délai fixé conformément à l' art. 30 al. 2 OJ , les mandataires successifs de la recourante ont chacun déposé la procuration requise par l' art. 29 al. 1 OJ . Par ailleurs, nonobstant l'opinion différente de l'intimé, il n'y a pas lieu de revenir sur la jurisprudence relative à l' art. 34 al. 2 OJ , déterminante dans la présente affaire, selon laquelle le délai de recours fixé par l' art. 89 OJ ne court pas, notamment, du 18 décembre au 1er janvier ( ATF 104 Ia 367 ; voir aussi ATF 120 IV 44 consid. 1b/dd p. 48).</w:t>
      </w:r>
    </w:p>
    <w:p>
      <w:r>
        <w:rPr>
          <w:b/>
        </w:rPr>
        <w:t>E. 1.3</w:t>
      </w:r>
    </w:p>
    <w:p>
      <w:r>
        <w:t>Sous réserve d'exceptions non réalisées en l'espèce, le recours de droit public ne peut tendre qu'à l'annulation de la décision attaquée ( ATF 128 III 50 consid. 1b p. 53, 127 II 1 consid. 2c p. 5, 126 I 213 consid. 1c p. 216/217); les conclusions tendant au renvoi de l'intimé devant le Tribunal correctionnel sont ainsi irrecevables.</w:t>
      </w:r>
    </w:p>
    <w:p>
      <w:r>
        <w:rPr>
          <w:b/>
        </w:rPr>
        <w:t>E. 2.1</w:t>
      </w:r>
    </w:p>
    <w:p>
      <w:r>
        <w:t>Le droit d'être entendu garanti par l' art. 29 al. 2 Cst. confère à toute personne le droit d'exiger, en principe, qu'une décision prise à son détriment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w:t>
      </w:r>
    </w:p>
    <w:p>
      <w:r>
        <w:rPr>
          <w:b/>
        </w:rPr>
        <w:t>E. 2.2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w:t>
      </w:r>
    </w:p>
    <w:p>
      <w:r>
        <w:rPr>
          <w:b/>
        </w:rPr>
        <w:t>E. 2.3</w:t>
      </w:r>
    </w:p>
    <w:p>
      <w:r>
        <w:t>Le grief de motivation insuffisante d'une décision est subsidiaire, en ce sens qu'il conduit à l'admission du recours seulement dans l'hypothèse où les motifs effectivement retenus par l'autorité intimée échappent au grief d'arbitraire mais se révèlent lacunaires.</w:t>
      </w:r>
    </w:p>
    <w:p>
      <w:r>
        <w:rPr>
          <w:b/>
        </w:rPr>
        <w:t>E. 3.1</w:t>
      </w:r>
    </w:p>
    <w:p>
      <w:r>
        <w:t>Le renvoi d'un prévenu en jugement suppose que l'enquête ait relevé contre lui des charges suffisantes, propres à justifier des débats publics et un jugement; par contre, une preuve certaine de culpabilité, au delà de tout doute raisonnable, n'est pas requise. Une telle preuve est seulement la condition d'une condamnation de l'accusé, à l'issue du procès; il appartient au tribunal compétent d'apprécier, de ce point de vue, si la thèse du plaignant ou de la plaignante peut être privilégiée par rapport à celle du prévenu. S'il n'y a pas de charges suffisantes dans le sens précité, l'autorité habilitée à cette fin le constate dans une décision de non-lieu ( art. 260 CPP vaud.; Hauser/Schweri, Schweizerisches Strafprozessrecht, 5e éd., ch. 9 p. 370/371; Gérard Piquerez, Procédure pénale suisse: traité théorique et pratique, ch. 2949 p. 645). Dans la présente affaire, une éventuelle décision de non-lieu doit indiquer en quoi les indices méticuleusement relevés par la plaignante sont d'emblée inaptes à établir, avec une certaine vraisemblance, la culpabilité du prévenu, ou en quoi certains éléments, au contraire, excluent la culpabilité avec suffisamment de certitude.</w:t>
      </w:r>
    </w:p>
    <w:p>
      <w:r>
        <w:rPr>
          <w:b/>
        </w:rPr>
        <w:t>E. 3.2</w:t>
      </w:r>
    </w:p>
    <w:p>
      <w:r>
        <w:t>La plaignante affirme s'être trouvée durablement contrainte d'accepter les relations sexuelles exigées par le prévenu et, simultanément, de feindre une relation harmonieuse avec lui, parce qu'il s'imposait à elle de le dissuader de rompre leur liaison ou, pire encore, de révéler à sa famille qu'elle n'était plus vierge. Dans cette version des faits, les moeurs extrêmement rigoureuses pratiquées dans le milieu d'origine des parties, caractérisées par une répression impitoyable des relations sexuelles hors mariage, ont un rôle essentiel: elles constituent l'instrument que le prévenu a utilisé pour entretenir, de façon perverse, l'assujettissement de sa victime. L'infraction alléguée ayant été ainsi commise au moyen de cette "sensibilité culturelle particulière" relevée dans l'arrêt attaqué, on ne peut pas se référer simplement à cet élément pour mettre en doute, sans plus d'explications, que l'auteur ait agi avec conscience et volonté. Isolé de tout autre élément d'appréciation, le témoignage mentionné dans l'arrêt est également inapte à exclure que l'infraction ait été commise selon le mode décrit, car l'attitude observée par le témoin peut aussi être le résultat d'une emprise très intense exercée sur la victime. L'arrêt attaqué ne repose ainsi que sur des éléments dépourvus de pertinence à l'appui d'un non-lieu, de sorte que la recourante est fondée à se plaindre d'une décision arbitraire. Il n'appartient pas au Tribunal fédéral de contrôler directement l'ordonnance de renvoi en procédant lui-même à une analyse du dossier; l'arrêt doit être simplement annulé pour violation de l' art. 9 Cst.</w:t>
      </w:r>
    </w:p>
    <w:p>
      <w:r>
        <w:rPr>
          <w:b/>
        </w:rPr>
        <w:t>E. 4</w:t>
      </w:r>
    </w:p>
    <w:p>
      <w:r>
        <w:t>L'intimé Y.________, qui succombe, doit acquitter l'émolument judiciaire et les dépens à allouer à la recourante. Celle-ci n'étant pas en mesure de rétribuer son conseil, sa demande d'assistance judiciaire doit être admise pour le cas où les dépens ne pourraient pas être recouvrés.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