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1P.466/2004 vom 1. September 2004</w:t>
      </w:r>
    </w:p>
    <w:p>
      <w:r>
        <w:t>Bundesgericht, 2004-09-01, DE</w:t>
      </w:r>
    </w:p>
    <w:p>
      <w:r>
        <w:rPr>
          <w:b/>
        </w:rPr>
        <w:t xml:space="preserve">Quelle: </w:t>
      </w:r>
      <w:r>
        <w:t>https://mcp.opencaselaw.ch/entscheid/bger_1P.466_2004</w:t>
      </w:r>
    </w:p>
    <w:p>
      <w:r>
        <w:t>FR: TF 1P.466/2004 du 1 septembre 2004</w:t>
      </w:r>
    </w:p>
    <w:p>
      <w:r>
        <w:t>IT: TF 1P.466/2004 del 1 settembre 2004</w:t>
      </w:r>
    </w:p>
    <w:p>
      <w:pPr>
        <w:pStyle w:val="Heading2"/>
      </w:pPr>
      <w:r>
        <w:t>Regeste</w:t>
      </w:r>
    </w:p>
    <w:p>
      <w:r>
        <w:t>Strafprozess</w:t>
      </w:r>
    </w:p>
    <w:p>
      <w:pPr>
        <w:pStyle w:val="Heading2"/>
      </w:pPr>
      <w:r>
        <w:t>Erwägungen</w:t>
      </w:r>
    </w:p>
    <w:p>
      <w:r>
        <w:rPr>
          <w:b/>
        </w:rPr>
        <w:t>E. 1</w:t>
      </w:r>
    </w:p>
    <w:p>
      <w:r>
        <w:t>Die staatsrechtliche Beschwerde ist zulässig gegen letztinstanzliche kantonale Entscheide ( Art. 86 Abs. 1 OG ). Wie auch der Beschwerdeführer nicht verkennt, handelt es sich beim angefochtenen Entscheid nicht um einen solchen; vielmehr ist dieser, wie sich auch aus der Rechtsmittelbelehrung ergibt, mit Beschwerde beim Obergericht des Kantons Aargau anfechtbar. Der Beschwerdeführer glaubt sich dennoch berechtigt, den Haftentscheid des Bezirksgerichtspräsidenten direkt beim Bundesgericht anzufechten. Zur Begründung bringt er vor, er habe bereits am 26. Juli 2004 bei der dafür zuständigen Beschwerdekammer in Strafsachen des Obergerichts ein Haftentlassungsgesuch eingereicht, welches am 28. Juli 2004 abgewiesen worden sei. Das Obergericht habe daher seine Meinung in der Sache bereits klar zum Ausdruck gebracht, und eine erneute Beschwerde käme einer leeren Formalität gleich, weshalb er den kantonalen Instanzenzug nicht ausschöpfen müsse. Es kann indessen keine Rede davon sein, dass sich seit dem letzten Haftentscheid des Obergerichts die Verhältnisse nicht geändert hätten; so ist in der Zwischenzeit Anklage erhoben worden, und die Dauer der vom Beschwerdeführer ausgestandenen Untersuchungs- bzw. Sicherheitshaft hat sich weiter erhöht. Das sind jedenfalls zwei Gesichtspunkte, denen bei einer erneuten Haftprüfung Rechnung zu tragen ist. Ob sie das Obergericht zu einer anderen Beurteilung führen als im letzten Haftprüfungsentscheid, ist eine andere Frage; von vornherein auszuschliessen ist dies, entgegen der Auffassung des Beschwerdeführers, jedenfalls nicht. Der Beschwerdeführer war unter diesen Umständen offensichtlich nicht befugt, auf die Ausschöpfung des kantonalen Rechtsmittelzuges zu verzichten. Aus BGE 96 I 636 , auf den er sich beruft, kann er nichts zu seinen Gunsten ableiten, die Fälle sind schlechterdings nicht vergleichbar. Auf die Beschwerde ist nicht einzutreten.</w:t>
      </w:r>
    </w:p>
    <w:p>
      <w:r>
        <w:rPr>
          <w:b/>
        </w:rPr>
        <w:t>E. 2</w:t>
      </w:r>
    </w:p>
    <w:p>
      <w:r>
        <w:t>Bei diesem Ausgang des Verfahrens wird der Beschwerdeführer kostenpflichtig ( Art. 156 OG ). Er hat zwar ein Gesuch um unentgeltliche Rechtspflege und Verbeiständung gestellt, welches jedoch abzuweisen ist, da die Beschwerde, deren Erhebung an der Grenze der Trölerei liegt,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