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1P.427/1999 vom 9. Februar 2000</w:t>
      </w:r>
    </w:p>
    <w:p>
      <w:r>
        <w:t>Bundesgericht, 2000-02-09, DE</w:t>
      </w:r>
    </w:p>
    <w:p>
      <w:r>
        <w:rPr>
          <w:b/>
        </w:rPr>
        <w:t xml:space="preserve">Quelle: </w:t>
      </w:r>
      <w:r>
        <w:t>https://mcp.opencaselaw.ch/entscheid/bger_1P.427_1999</w:t>
      </w:r>
    </w:p>
    <w:p>
      <w:r>
        <w:t>FR: TF 1P.427/1999 du 9 février 2000</w:t>
      </w:r>
    </w:p>
    <w:p>
      <w:r>
        <w:t>IT: TF 1P.427/1999 del 9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Grosse Rat wählt zu Beginn der Amtsdauer aus</w:t>
      </w:r>
    </w:p>
    <w:p>
      <w:r>
        <w:t>seiner Mitte die ständigen Kommissionen.</w:t>
      </w:r>
    </w:p>
    <w:p>
      <w:r>
        <w:rPr>
          <w:b/>
        </w:rPr>
        <w:t>E. 2</w:t>
      </w:r>
    </w:p>
    <w:p>
      <w:r>
        <w:t>Der Grosse Rat kann die Kommissionen in besondern</w:t>
      </w:r>
    </w:p>
    <w:p>
      <w:r>
        <w:t>Fällen durch fraktionslose Mitglieder erweitern.</w:t>
      </w:r>
    </w:p>
    <w:p>
      <w:r>
        <w:rPr>
          <w:b/>
        </w:rPr>
        <w:t>E. 3</w:t>
      </w:r>
    </w:p>
    <w:p>
      <w:r>
        <w:t>Zur Hauptsache beanstandet die Beschwerdeführerin,</w:t>
      </w:r>
    </w:p>
    <w:p>
      <w:r>
        <w:t>dass die Verteilung der Kommissionssitze auf die einzelnen</w:t>
      </w:r>
    </w:p>
    <w:p>
      <w:r>
        <w:t>Fraktionen aus einer Gesamtbeurteilung auf Grund der Gesamt-</w:t>
      </w:r>
    </w:p>
    <w:p>
      <w:r>
        <w:t>zahl von 126 Kommissionssitzen für sämtliche ständigen Kom-</w:t>
      </w:r>
    </w:p>
    <w:p>
      <w:r>
        <w:t>missionen heraus vorgenommen wurde. Sie vertritt die Auffas-</w:t>
      </w:r>
    </w:p>
    <w:p>
      <w:r>
        <w:t>sung, in jeder einzelnen Kommission müssten die Fraktionen</w:t>
      </w:r>
    </w:p>
    <w:p>
      <w:r>
        <w:t>im Verhältnis ihrer Stärke vertreten sein. Das bedeute für</w:t>
      </w:r>
    </w:p>
    <w:p>
      <w:r>
        <w:t>die SVP-Fraktion, dass sie in allen acht Kommissionen mit</w:t>
      </w:r>
    </w:p>
    <w:p>
      <w:r>
        <w:t>13 Mitgliedern Anspruch auf 3 Sitze habe. Die vorgenommene</w:t>
      </w:r>
    </w:p>
    <w:p>
      <w:r>
        <w:t>Sitzverteilung erachtet die Beschwerdeführerin schliesslich</w:t>
      </w:r>
    </w:p>
    <w:p>
      <w:r>
        <w:t>als Verletzung elementarer Regeln der Arithmetik.</w:t>
      </w:r>
    </w:p>
    <w:p>
      <w:r>
        <w:t>a) § 96 StV schreibt vor, dass bei der Bestellung</w:t>
      </w:r>
    </w:p>
    <w:p>
      <w:r>
        <w:t>der einzelnen Behörden und Gremien auf die Vertretung der</w:t>
      </w:r>
    </w:p>
    <w:p>
      <w:r>
        <w:t>politischen Parteien "angemessen Rücksicht" zu nehmen ist.</w:t>
      </w:r>
    </w:p>
    <w:p>
      <w:r>
        <w:t>Diese Vorschrift steht im Zusammenhang mit den Grundzügen</w:t>
      </w:r>
    </w:p>
    <w:p>
      <w:r>
        <w:t>des Proporzwahlsystems und dem damit verbundenen Grundsatz</w:t>
      </w:r>
    </w:p>
    <w:p>
      <w:r>
        <w:t>der Erfolgswertgleichheit bei Volkswahlen (vgl. BGE 125 I 21</w:t>
      </w:r>
    </w:p>
    <w:p>
      <w:r>
        <w:t>E. 3d/dd S. 33 und 125 I 289 E. 6 S. 295). Der in § 96 StV</w:t>
      </w:r>
    </w:p>
    <w:p>
      <w:r>
        <w:t>verwendete Ausdruck der angemessenen Rücksichtnahme bedeutet</w:t>
      </w:r>
    </w:p>
    <w:p>
      <w:r>
        <w:t>indessen nach der bisherigen Rechtsprechung nicht, dass aus</w:t>
      </w:r>
    </w:p>
    <w:p>
      <w:r>
        <w:t>der Kantonsverfassung ein Anspruch auf verhältnismässige,</w:t>
      </w:r>
    </w:p>
    <w:p>
      <w:r>
        <w:t>mathematisch exakte Vertretung etwa entsprechend der Sitz-</w:t>
      </w:r>
    </w:p>
    <w:p>
      <w:r>
        <w:t>zahl im Grossen Rat abgeleitet werden könne. Es könne weder</w:t>
      </w:r>
    </w:p>
    <w:p>
      <w:r>
        <w:t>eine entsprechende Berücksichtigung in jeder einzelnen Be-</w:t>
      </w:r>
    </w:p>
    <w:p>
      <w:r>
        <w:t>hörde erwartet noch verlangt werden, dass ein bestimmter</w:t>
      </w:r>
    </w:p>
    <w:p>
      <w:r>
        <w:t>Kandidat tatsächlich gewählt werde. Im Sinne einer Gesamt-</w:t>
      </w:r>
    </w:p>
    <w:p>
      <w:r>
        <w:t>betrachtung sei es auch zulässig, dass für die Beurteilung</w:t>
      </w:r>
    </w:p>
    <w:p>
      <w:r>
        <w:t>der angemessenen Berücksichtigung in einer Behörde oder</w:t>
      </w:r>
    </w:p>
    <w:p>
      <w:r>
        <w:t>einem Gremium auch auf die Vertretung in andern vergleich-</w:t>
      </w:r>
    </w:p>
    <w:p>
      <w:r>
        <w:t>baren Organen abgestellt wird. Dem Wahlkörper komme ein</w:t>
      </w:r>
    </w:p>
    <w:p>
      <w:r>
        <w:t>weiter Ermessensspielraum zu. Von einer Verletzung der</w:t>
      </w:r>
    </w:p>
    <w:p>
      <w:r>
        <w:t>Staatsverfassung könne erst gesprochen werden, wenn eine</w:t>
      </w:r>
    </w:p>
    <w:p>
      <w:r>
        <w:t>Partei systematisch und bei mehreren Gelegenheiten über-</w:t>
      </w:r>
    </w:p>
    <w:p>
      <w:r>
        <w:t>gangen oder benachteiligt werde (ZBl 95/1994 S. 366 E. 3,</w:t>
      </w:r>
    </w:p>
    <w:p>
      <w:r>
        <w:t>mit Hinweisen). In ähnlicher Weise umschreibt § 22 GRG den</w:t>
      </w:r>
    </w:p>
    <w:p>
      <w:r>
        <w:t>Anspruch der Fraktionen auf Berücksichtigung in den Kommis-</w:t>
      </w:r>
    </w:p>
    <w:p>
      <w:r>
        <w:t>sionen. Danach sollen die Fraktionen in der Regel in den</w:t>
      </w:r>
    </w:p>
    <w:p>
      <w:r>
        <w:t>Kommissionen im Verhältnis ihrer Mitgliederzahl vertreten</w:t>
      </w:r>
    </w:p>
    <w:p>
      <w:r>
        <w:t>sein. Die Wendung "in der Regel" deutet ebenfalls darauf</w:t>
      </w:r>
    </w:p>
    <w:p>
      <w:r>
        <w:t>hin, dass keine mathematisch exakte Repräsentation verlangt</w:t>
      </w:r>
    </w:p>
    <w:p>
      <w:r>
        <w:t>wird und dem Wahlkörper ein erheblicher Ermessensspielraum</w:t>
      </w:r>
    </w:p>
    <w:p>
      <w:r>
        <w:t>zusteht.</w:t>
      </w:r>
    </w:p>
    <w:p>
      <w:r>
        <w:t>Sowohl aus der Staatsverfassung als auch aus dem</w:t>
      </w:r>
    </w:p>
    <w:p>
      <w:r>
        <w:t>Grossratsgesetz ergibt sich danach mit hinreichender Deut-</w:t>
      </w:r>
    </w:p>
    <w:p>
      <w:r>
        <w:t>lichkeit, dass mit der Berücksichtigung der politischen</w:t>
      </w:r>
    </w:p>
    <w:p>
      <w:r>
        <w:t>Parteien in den einzelnen Behörden und Gremien kein mathe-</w:t>
      </w:r>
    </w:p>
    <w:p>
      <w:r>
        <w:t>matisch exaktes Spiegelbild der Kräfte im Grossen Rat ver-</w:t>
      </w:r>
    </w:p>
    <w:p>
      <w:r>
        <w:t>langt wird. Derartiges wäre schon rein tatsächlich nicht</w:t>
      </w:r>
    </w:p>
    <w:p>
      <w:r>
        <w:t>möglich und ist rechtlich nicht verlangt. Zulässig ist zudem</w:t>
      </w:r>
    </w:p>
    <w:p>
      <w:r>
        <w:t>eine Gesamtsicht über eine Behörde oder ein Organ hinaus.</w:t>
      </w:r>
    </w:p>
    <w:p>
      <w:r>
        <w:t>Dementsprechend gross ist der Spielraum, der dem Wahlkörper</w:t>
      </w:r>
    </w:p>
    <w:p>
      <w:r>
        <w:t>zukommt. Weshalb dem Grossen Rat bei der Bestellung der</w:t>
      </w:r>
    </w:p>
    <w:p>
      <w:r>
        <w:t>ständigen Kommissionen kein Ermessen zukommen soll, wie die</w:t>
      </w:r>
    </w:p>
    <w:p>
      <w:r>
        <w:t>Beschwerdeführerin geltend macht, ist unerfindlich.</w:t>
      </w:r>
    </w:p>
    <w:p>
      <w:r>
        <w:t>b) In Anbetracht dieser Normen, der Rechtsprechung</w:t>
      </w:r>
    </w:p>
    <w:p>
      <w:r>
        <w:t>zu § 96 StV sowie des weiten Spielraums hält es vor der Ver-</w:t>
      </w:r>
    </w:p>
    <w:p>
      <w:r>
        <w:t>fassung stand, dass der Grossrat bei der Bestellung der</w:t>
      </w:r>
    </w:p>
    <w:p>
      <w:r>
        <w:t>ständigen Kommissionen auf die Gesamtzahl der Kommissions-</w:t>
      </w:r>
    </w:p>
    <w:p>
      <w:r>
        <w:t>sitze abstellt und diese entsprechend auf die Fraktionen</w:t>
      </w:r>
    </w:p>
    <w:p>
      <w:r>
        <w:t>aufteilt. Entgegen der Auffassung der Beschwerdeführerin war</w:t>
      </w:r>
    </w:p>
    <w:p>
      <w:r>
        <w:t>der Wahlkörper daher von Verfassungs wegen nicht gehalten,</w:t>
      </w:r>
    </w:p>
    <w:p>
      <w:r>
        <w:t>die acht ständigen 13-er Kommissionen in identischer Frak-</w:t>
      </w:r>
    </w:p>
    <w:p>
      <w:r>
        <w:t>tionsstärke zu besetzen. Er durfte die Zusammensetzung in</w:t>
      </w:r>
    </w:p>
    <w:p>
      <w:r>
        <w:t>den einzelnen Kommissionen variieren und aus einer Gesamt-</w:t>
      </w:r>
    </w:p>
    <w:p>
      <w:r>
        <w:t>sicht heraus Ausgleiche schaffen. Einem solchen Vorgehen</w:t>
      </w:r>
    </w:p>
    <w:p>
      <w:r>
        <w:t>stehen weder Wortlaut noch Sinn von § 96 StV und § 22 GRG</w:t>
      </w:r>
    </w:p>
    <w:p>
      <w:r>
        <w:t>entgegen. Gerade die Entstehung der angefochtenen Ordnung</w:t>
      </w:r>
    </w:p>
    <w:p>
      <w:r>
        <w:t>macht deutlich, wie sehr sich die Präsidentenkonferenz und</w:t>
      </w:r>
    </w:p>
    <w:p>
      <w:r>
        <w:t>der Grosse Rat darum bemühten, mit dem eingeschlagenen Weg</w:t>
      </w:r>
    </w:p>
    <w:p>
      <w:r>
        <w:t>eine angemessene und möglichst genaue Vertretung der Frak-</w:t>
      </w:r>
    </w:p>
    <w:p>
      <w:r>
        <w:t>tionen zu realisieren. Die Beschwerdeführerin bleibt denn</w:t>
      </w:r>
    </w:p>
    <w:p>
      <w:r>
        <w:t>auch den Beweis schuldig, wie sich ihr Anspruch auf 3 Sitze</w:t>
      </w:r>
    </w:p>
    <w:p>
      <w:r>
        <w:t>in allen 13-er Kommissionen mit dem Anspruch der andern Par-</w:t>
      </w:r>
    </w:p>
    <w:p>
      <w:r>
        <w:t>teien nach § 96 StV und § 22 GRG vertragen würde.</w:t>
      </w:r>
    </w:p>
    <w:p>
      <w:r>
        <w:t>Demnach ist es von Verfassungs wegen nicht zu be-</w:t>
      </w:r>
    </w:p>
    <w:p>
      <w:r>
        <w:t>anstanden und ist mit § 22 GRG vereinbar, dass der Grosse</w:t>
      </w:r>
    </w:p>
    <w:p>
      <w:r>
        <w:t>Rat bei der Besetzung der ständigen Kommissionen auf die</w:t>
      </w:r>
    </w:p>
    <w:p>
      <w:r>
        <w:t>Gesamtzahl der Kommissionssitze abstellte und diese dann</w:t>
      </w:r>
    </w:p>
    <w:p>
      <w:r>
        <w:t>entsprechend auf die Fraktionen verteilte. Bei dieser Sach-</w:t>
      </w:r>
    </w:p>
    <w:p>
      <w:r>
        <w:t>lage geht die Rüge der fehlenden gesetzlichen Grundlage zum</w:t>
      </w:r>
    </w:p>
    <w:p>
      <w:r>
        <w:t>Vornherein fehl.</w:t>
      </w:r>
    </w:p>
    <w:p>
      <w:r>
        <w:t>c) Die Beschwerdeführerin macht allerdings weiter</w:t>
      </w:r>
    </w:p>
    <w:p>
      <w:r>
        <w:t>geltend, diese Betrachtungsweise des Grossen Rates stehe im</w:t>
      </w:r>
    </w:p>
    <w:p>
      <w:r>
        <w:t>Widerspruch zur bisherigen Praxis und stelle eine Praxis-</w:t>
      </w:r>
    </w:p>
    <w:p>
      <w:r>
        <w:t>änderung dar, für die nachvollziehbare, ernsthafte und ob-</w:t>
      </w:r>
    </w:p>
    <w:p>
      <w:r>
        <w:t>jektive Gründe fehlten. Darin liege ein Verstoss gegen das</w:t>
      </w:r>
    </w:p>
    <w:p>
      <w:r>
        <w:t>Willkürverbot im Sinne von Art. 4 aBV .</w:t>
      </w:r>
    </w:p>
    <w:p>
      <w:r>
        <w:t>Nach der Rechtsprechung zu Art. 4 aBV muss sich</w:t>
      </w:r>
    </w:p>
    <w:p>
      <w:r>
        <w:t>eine Praxisänderung auf ernsthafte und sachliche Gründe</w:t>
      </w:r>
    </w:p>
    <w:p>
      <w:r>
        <w:t>stützen können. Der Richter oder Rechtsanwender kann aller-</w:t>
      </w:r>
    </w:p>
    <w:p>
      <w:r>
        <w:t>dings nicht von Verfassungs wegen angehalten werden, an</w:t>
      </w:r>
    </w:p>
    <w:p>
      <w:r>
        <w:t>einer bisherigen Auffassung festzuhalten, wenn er zur Ein-</w:t>
      </w:r>
    </w:p>
    <w:p>
      <w:r>
        <w:t>sicht gelangt, dass eine andere Lösung dem Gesetz oder der</w:t>
      </w:r>
    </w:p>
    <w:p>
      <w:r>
        <w:t>Gerechtigkeit besser entspreche. Eine Praxisänderung ver-</w:t>
      </w:r>
    </w:p>
    <w:p>
      <w:r>
        <w:t>stösst daher nicht gegen Art. 4 aBV , wenn sie mit objektiven</w:t>
      </w:r>
    </w:p>
    <w:p>
      <w:r>
        <w:t>Umständen begründet werden kann und sich etwa auf eine bes-</w:t>
      </w:r>
    </w:p>
    <w:p>
      <w:r>
        <w:t>sere Einsicht über den verfolgten Gesetzeszweck, auf ver-</w:t>
      </w:r>
    </w:p>
    <w:p>
      <w:r>
        <w:t>änderte äussere Umstände oder Wandlungen von Anschauungen</w:t>
      </w:r>
    </w:p>
    <w:p>
      <w:r>
        <w:t>abstützen kann. Je gefestigter die bisherige Praxis ist,</w:t>
      </w:r>
    </w:p>
    <w:p>
      <w:r>
        <w:t>je besser ist die Praxisänderung zu begründen ( BGE 122 I 57</w:t>
      </w:r>
    </w:p>
    <w:p>
      <w:r>
        <w:t>E. 3c/aa S. 59, 111 V 161 E. 5b S. 170, 108 Ia 122 E. 2a</w:t>
      </w:r>
    </w:p>
    <w:p>
      <w:r>
        <w:t>S. 125, mit Hinweisen;</w:t>
      </w:r>
    </w:p>
    <w:p>
      <w:r>
        <w:t>Jörg Paul Müller , Grundrechte in der</w:t>
      </w:r>
    </w:p>
    <w:p>
      <w:r>
        <w:t>Schweiz, 3. Auflage 1999, S. 405 f.).</w:t>
      </w:r>
    </w:p>
    <w:p>
      <w:r>
        <w:t>Im vorliegenden Fall können solche ernsthafte und</w:t>
      </w:r>
    </w:p>
    <w:p>
      <w:r>
        <w:t>sachliche Gründe ohne weiteres namhaft gemacht werden. Sie</w:t>
      </w:r>
    </w:p>
    <w:p>
      <w:r>
        <w:t>liegen im Wesentlichen darin, dass der Parlamentsbetrieb</w:t>
      </w:r>
    </w:p>
    <w:p>
      <w:r>
        <w:t>im Grossen Rat eine grundlegende Änderung erfahren hat.</w:t>
      </w:r>
    </w:p>
    <w:p>
      <w:r>
        <w:t>Der Grosse Rat ist mit der Änderung von § 45 Abs. 1 StV am</w:t>
      </w:r>
    </w:p>
    <w:p>
      <w:r>
        <w:t>27. September 1998 von 170 auf 120 Mitglieder reduziert</w:t>
      </w:r>
    </w:p>
    <w:p>
      <w:r>
        <w:t>worden. Im gleichen Zug ist das Grossratsgesetz und die</w:t>
      </w:r>
    </w:p>
    <w:p>
      <w:r>
        <w:t>Geschäftsordnung des Grossen Rates einer Überarbeitung</w:t>
      </w:r>
    </w:p>
    <w:p>
      <w:r>
        <w:t>unterzogen worden. Neu sollte die wesentliche Vorarbeit</w:t>
      </w:r>
    </w:p>
    <w:p>
      <w:r>
        <w:t>in (zehn) ständigen (Fach-) Kommissionen geleistet werden;</w:t>
      </w:r>
    </w:p>
    <w:p>
      <w:r>
        <w:t>nichtständige Kommissionen sollen nur noch nach Bedarf</w:t>
      </w:r>
    </w:p>
    <w:p>
      <w:r>
        <w:t>eingesetzt werden und die Ausnahme bilden. Auch wenn schon</w:t>
      </w:r>
    </w:p>
    <w:p>
      <w:r>
        <w:t>früher eine gewisse Anzahl von ständigen Kommissionen</w:t>
      </w:r>
    </w:p>
    <w:p>
      <w:r>
        <w:t>bestanden hat, wie die Beschwerdeführerin und der Grosse Rat</w:t>
      </w:r>
    </w:p>
    <w:p>
      <w:r>
        <w:t>in ihren Rechtsschriften ausführen, so zeigt sich doch, dass</w:t>
      </w:r>
    </w:p>
    <w:p>
      <w:r>
        <w:t>die Neuordnung eine wesentliche Änderung und Verwesentli-</w:t>
      </w:r>
    </w:p>
    <w:p>
      <w:r>
        <w:t>chung der Kommissionsarbeit mit sich gebracht hat.</w:t>
      </w:r>
    </w:p>
    <w:p>
      <w:r>
        <w:t>Diese Neuordnung legt es durchaus nahe, den Par-</w:t>
      </w:r>
    </w:p>
    <w:p>
      <w:r>
        <w:t>teienproporz nicht so sehr auf die einzelne ständige Kommis-</w:t>
      </w:r>
    </w:p>
    <w:p>
      <w:r>
        <w:t>sion zu beziehen, sondern die Bestellung der Kommissionen</w:t>
      </w:r>
    </w:p>
    <w:p>
      <w:r>
        <w:t>aus einer Gesamtsicht heraus vorzunehmen. Diese Gesamtbe-</w:t>
      </w:r>
    </w:p>
    <w:p>
      <w:r>
        <w:t>trachtung erlaubt es, in vermehrter Weise dem Gedanken der</w:t>
      </w:r>
    </w:p>
    <w:p>
      <w:r>
        <w:t>anteilmässigen Vertretung aller Parteien Rechnung zu tragen</w:t>
      </w:r>
    </w:p>
    <w:p>
      <w:r>
        <w:t>und entsprechend den Kriterien der Präsidentenkonferenz und</w:t>
      </w:r>
    </w:p>
    <w:p>
      <w:r>
        <w:t>den Materialien zur Änderung von Grossratsgesetz und Ge-</w:t>
      </w:r>
    </w:p>
    <w:p>
      <w:r>
        <w:t>schäftsordnung zusätzlich zu ermöglichen, dass alle Frak-</w:t>
      </w:r>
    </w:p>
    <w:p>
      <w:r>
        <w:t>tionen in allen ständigen Kommissionen vertreten sind und</w:t>
      </w:r>
    </w:p>
    <w:p>
      <w:r>
        <w:t>wenn möglich jeder Parlamentarier die Möglichkeit der Mit-</w:t>
      </w:r>
    </w:p>
    <w:p>
      <w:r>
        <w:t>arbeit in einer ständigen Kommission erhält. Bei dieser</w:t>
      </w:r>
    </w:p>
    <w:p>
      <w:r>
        <w:t>Sachlage sind dem Grossen Rat beachtenswerte Gründe dafür</w:t>
      </w:r>
    </w:p>
    <w:p>
      <w:r>
        <w:t>anzuerkennen, dass er die ständigen Kommissionen mit einem</w:t>
      </w:r>
    </w:p>
    <w:p>
      <w:r>
        <w:t>Gesamtbeschluss bestellte und die Sitze aus einer Gesamt-</w:t>
      </w:r>
    </w:p>
    <w:p>
      <w:r>
        <w:t>sicht heraus auf die einzelnen Parteien verteilte. An dieser</w:t>
      </w:r>
    </w:p>
    <w:p>
      <w:r>
        <w:t>Beurteilung ändert auch der Umstand nichts, dass die Präsi-</w:t>
      </w:r>
    </w:p>
    <w:p>
      <w:r>
        <w:t>dentenkonferenz die Zuteilungskriterien in seinem ersten</w:t>
      </w:r>
    </w:p>
    <w:p>
      <w:r>
        <w:t>Beschluss vom 5. Mai 1999 vorerst anders formulierte als</w:t>
      </w:r>
    </w:p>
    <w:p>
      <w:r>
        <w:t>anlässlich der Behandlung des Wiedererwägungsgesuches am</w:t>
      </w:r>
    </w:p>
    <w:p>
      <w:r>
        <w:t>31. Mai 1999.</w:t>
      </w:r>
    </w:p>
    <w:p>
      <w:r>
        <w:t>Damit erweist sich die Rüge, der Grosse Rat habe in</w:t>
      </w:r>
    </w:p>
    <w:p>
      <w:r>
        <w:t>Verletzung von Art. 4 aBV seine Praxis geändert, als unbe-</w:t>
      </w:r>
    </w:p>
    <w:p>
      <w:r>
        <w:t>gründet.</w:t>
      </w:r>
    </w:p>
    <w:p>
      <w:r>
        <w:t>d) Schliesslich rügt die Beschwerdeführerin als</w:t>
      </w:r>
    </w:p>
    <w:p>
      <w:r>
        <w:t>Verstoss gegen § 96 StV und Art. 22 GRG, dass die Regeln der</w:t>
      </w:r>
    </w:p>
    <w:p>
      <w:r>
        <w:t>Arithmetik bei der Sitzverteilung verletzt worden seien und</w:t>
      </w:r>
    </w:p>
    <w:p>
      <w:r>
        <w:t>sie daher nicht angemessen berücksichtigt worden sei.</w:t>
      </w:r>
    </w:p>
    <w:p>
      <w:r>
        <w:t>Diese Rüge erweist sich von vornherein als unbe-</w:t>
      </w:r>
    </w:p>
    <w:p>
      <w:r>
        <w:t>gründet. Zum einen verfügt der Grosse Rat bei der Anwen-</w:t>
      </w:r>
    </w:p>
    <w:p>
      <w:r>
        <w:t>dung der genannten Rechtsgrundlagen, wie dargelegt, über</w:t>
      </w:r>
    </w:p>
    <w:p>
      <w:r>
        <w:t>einen erheblichen Ermessensspielraum und braucht die Be-</w:t>
      </w:r>
    </w:p>
    <w:p>
      <w:r>
        <w:t>stellung seiner Kommissionen nicht den Kräfteverhältnissen</w:t>
      </w:r>
    </w:p>
    <w:p>
      <w:r>
        <w:t>entsprechend streng arithmetisch vorzunehmen. Zum andern</w:t>
      </w:r>
    </w:p>
    <w:p>
      <w:r>
        <w:t>zeigt die oben wiedergegebene Liste, dass bei der Sitzzu-</w:t>
      </w:r>
    </w:p>
    <w:p>
      <w:r>
        <w:t>teilung an die SVP der mathematisch ausgewiesene Anspruch</w:t>
      </w:r>
    </w:p>
    <w:p>
      <w:r>
        <w:t>von 23,10 Sitzen auf 22 Sitze reduziert worden ist. Reduk-</w:t>
      </w:r>
    </w:p>
    <w:p>
      <w:r>
        <w:t>tionen haben auch die andern Parteien in Kauf nehmen müs-</w:t>
      </w:r>
    </w:p>
    <w:p>
      <w:r>
        <w:t>sen, um der kleinsten Fraktion des Grünen Bündnisses den</w:t>
      </w:r>
    </w:p>
    <w:p>
      <w:r>
        <w:t>Einzug in jede ständige Kommission zu ermöglichen. Die</w:t>
      </w:r>
    </w:p>
    <w:p>
      <w:r>
        <w:t>Reduktion um 1,10 Sitz bei der SVP nimmt für sich genommen</w:t>
      </w:r>
    </w:p>
    <w:p>
      <w:r>
        <w:t>kein Ausmass an, das eine schwerwiegende und systematische</w:t>
      </w:r>
    </w:p>
    <w:p>
      <w:r>
        <w:t>Benachteiligung der Beschwerdeführerin im Sinne der oben</w:t>
      </w:r>
    </w:p>
    <w:p>
      <w:r>
        <w:t>wiedergegebenen Auslegung von § 96 StV darstellen würde.</w:t>
      </w:r>
    </w:p>
    <w:p>
      <w:r>
        <w:t>Daran ändert auch der Umstand nichts, dass die Reduktion</w:t>
      </w:r>
    </w:p>
    <w:p>
      <w:r>
        <w:t>bei der Beschwerdeführerin am grössten ausgefallen ist.</w:t>
      </w:r>
    </w:p>
    <w:p>
      <w:r>
        <w:t>Denn die Aufstellung in E. 2a zeigt auch, dass die Abgabe</w:t>
      </w:r>
    </w:p>
    <w:p>
      <w:r>
        <w:t>eines Sitzes bei allen anderen Parteien (ausser dem Grünen</w:t>
      </w:r>
    </w:p>
    <w:p>
      <w:r>
        <w:t>Bündnis, das sonst nicht in allen zehn Kommissionen ver-</w:t>
      </w:r>
    </w:p>
    <w:p>
      <w:r>
        <w:t>treten wäre) zu einer grösseren Reduktion geführt hätte.</w:t>
      </w:r>
    </w:p>
    <w:p>
      <w:r>
        <w:t>Schliesslich darf im Gesamtzusammenhang berücksichtigt</w:t>
      </w:r>
    </w:p>
    <w:p>
      <w:r>
        <w:t>werden, dass der Beschwerdeführerin ein bzw. zwei weitere</w:t>
      </w:r>
    </w:p>
    <w:p>
      <w:r>
        <w:t>Sitze angeboten worden sind (Protokoll der Präsidenten-</w:t>
      </w:r>
    </w:p>
    <w:p>
      <w:r>
        <w:t>konferenz vom 31. Mai 1999), diese indessen auf einer</w:t>
      </w:r>
    </w:p>
    <w:p>
      <w:r>
        <w:t>Vertretung von 3 Sitzen in allen 13-er Kommissionen bzw.</w:t>
      </w:r>
    </w:p>
    <w:p>
      <w:r>
        <w:t>auf dem Kompromissvorschlag von 3 weitern Sitzen beharrte;</w:t>
      </w:r>
    </w:p>
    <w:p>
      <w:r>
        <w:t>auch in diesem Angebot der andern Parteien kommt zum Aus-</w:t>
      </w:r>
    </w:p>
    <w:p>
      <w:r>
        <w:t>druck, dass die SVP-Fraktion keineswegs diskriminierend</w:t>
      </w:r>
    </w:p>
    <w:p>
      <w:r>
        <w:t>übergangen worden ist.</w:t>
      </w:r>
    </w:p>
    <w:p>
      <w:r>
        <w:t>Damit erweist sich die Beschwerde auch in diesem</w:t>
      </w:r>
    </w:p>
    <w:p>
      <w:r>
        <w:t>Punkte als unbegründet.</w:t>
      </w:r>
    </w:p>
    <w:p>
      <w:r>
        <w:rPr>
          <w:b/>
        </w:rPr>
        <w:t>E. 4</w:t>
      </w:r>
    </w:p>
    <w:p>
      <w:r>
        <w:t>Demnach ist die Beschwerde abzuweisen. Angesichts</w:t>
      </w:r>
    </w:p>
    <w:p>
      <w:r>
        <w:t>des besondern Charakters der vorliegenden Beschwerde, die</w:t>
      </w:r>
    </w:p>
    <w:p>
      <w:r>
        <w:t>einer Stimmrechtsbeschwerde nahe kommt, sind der Beschwer-</w:t>
      </w:r>
    </w:p>
    <w:p>
      <w:r>
        <w:t>deführerin trotz ihres Unterliegens keine Kosten aufzuer-</w:t>
      </w:r>
    </w:p>
    <w:p>
      <w:r>
        <w:t>legen (vgl. die unveröffentlichten Erwägungen in den Ur-</w:t>
      </w:r>
    </w:p>
    <w:p>
      <w:r>
        <w:t>teilen ZBl 95/1994 S. 366 und 92/1991 S. 260). Die Zu-</w:t>
      </w:r>
    </w:p>
    <w:p>
      <w:r>
        <w:t>sprechung einer Parteientschädigung fällt ausser Betracht</w:t>
      </w:r>
    </w:p>
    <w:p>
      <w:r>
        <w:t>( Art. 159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