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1P.421/2002 vom 7. Januar 2003</w:t>
      </w:r>
    </w:p>
    <w:p>
      <w:r>
        <w:t>Bundesgericht, 2003-01-07, DE</w:t>
      </w:r>
    </w:p>
    <w:p>
      <w:r>
        <w:rPr>
          <w:b/>
        </w:rPr>
        <w:t xml:space="preserve">Quelle: </w:t>
      </w:r>
      <w:r>
        <w:t>https://mcp.opencaselaw.ch/entscheid/bger_1P.421_2002</w:t>
      </w:r>
    </w:p>
    <w:p>
      <w:r>
        <w:t>FR: TF 1P.421/2002 du 7 janvier 2003</w:t>
      </w:r>
    </w:p>
    <w:p>
      <w:r>
        <w:t>IT: TF 1P.421/2002 del 7 gennaio 2003</w:t>
      </w:r>
    </w:p>
    <w:p>
      <w:pPr>
        <w:pStyle w:val="Heading2"/>
      </w:pPr>
      <w:r>
        <w:t>Regeste</w:t>
      </w:r>
    </w:p>
    <w:p>
      <w:r>
        <w:t>Enteignung</w:t>
      </w:r>
    </w:p>
    <w:p>
      <w:pPr>
        <w:pStyle w:val="Heading2"/>
      </w:pPr>
      <w:r>
        <w:t>Erwägungen</w:t>
      </w:r>
    </w:p>
    <w:p>
      <w:r>
        <w:rPr>
          <w:b/>
        </w:rPr>
        <w:t>E. 1.1</w:t>
      </w:r>
    </w:p>
    <w:p>
      <w:r>
        <w:t>Die Beschwerdeführer rufen neben Art. 9 BV auch die Eigentumsgarantie ( Art. 26 BV ) an. Sie machen allerdings nicht geltend, die kantonalen Gesetzesbestimmungen über die Enteignung seien mit Art. 26 BV unvereinbar, sondern bringen sinngemäss vor, es sei ihnen nicht die volle Entschädigung zugesprochen worden. In solchen Fällen befindet das Bundesgericht frei darüber, ob die bei der Entschädigungsbemessung befolgten Regeln dem verfassungsmässigen Prinzip der vollen Entschädigung genügten. Dagegen prüft es die bei der Anwendung dieser Methoden getroffenen tatsächlichen Feststellungen oder An-nahmen sowie das Ergebnis der Schätzungen nur unter dem Gewichtswinkel der Willkür ( BGE 122 I 168 E. 2c S. 173, 112 Ia 198 E. 1b, je mit Hinweisen).</w:t>
      </w:r>
    </w:p>
    <w:p>
      <w:r>
        <w:rPr>
          <w:b/>
        </w:rPr>
        <w:t>E. 1.2</w:t>
      </w:r>
    </w:p>
    <w:p>
      <w:r>
        <w:t>Gemäss ständiger bundesgerichtlicher Rechtsprechung bildet das Enteignungsobjekt ein Ganzes und erweist sich der Entschädigungsentscheid nur dann als rechts- bzw. verfassungswidrig, wenn sich die Enteignungsentschädigung insgesamt, im Endergebnis, als ungenügend ausnimmt. Das Bundesgericht untersucht daher die einzelnen Entschädigungsposten ungeachtet der hierzu vorgebrachten Begründungen im Hinblick auf die zugesprochene Gesamtentschädigung und hebt den angefochtenen Entscheid nur auf, wenn diese den Anspruch auf volle Entschädigung nicht erfüllt. Dabei sind auch bereits abgeschlossene Teilvergleiche und -verträge in die Prüfung mit einzubeziehen (vgl. BGE 128 II 74 E. 4, 114 Ib 286 E. 9 S. 300, 109 Ib 26 E. 1b mit Hinweisen).</w:t>
      </w:r>
    </w:p>
    <w:p>
      <w:r>
        <w:rPr>
          <w:b/>
        </w:rPr>
        <w:t>E. 2</w:t>
      </w:r>
    </w:p>
    <w:p>
      <w:r>
        <w:t>Die Beschwerdeführer stellen die Entschädigung, die ihnen für ihre Stockwerkeigentumsanteile an der Wohnliegenschaft Nr. 122 zuerkannt worden ist, im staatsrechtlichen Verfahren einzig noch hinsichtlich des Bodenpreises in Frage. Sie machen geltend, dass der mit Fr. 75.--/m2 bewertete Umschwung vergrössert und auf die ganze Parzellenfläche, mindestens aber auf einen Gebäudeabstand von 3 m ausgedehnt werden müsse. Es trifft zu, dass bei der Bewertung von Wohnhäusern ausserhalb der Bauzone in der Regel angenommen wird, ein Käufer bezahle für einen gewissen Umschwung, der als Garten, Spielplatz, Abstellplatz usw. genutzt werden kann, einen höheren Preis als für blosses Landwirtschaftsland. Ein solcher Umschwung würde zweifellos eine grössere Fläche umfassen als jene, die von der Schatzungskommission mit 1,5 m Gebäudeabstand festgelegt worden ist. Dennoch fällt hier eine Erhöhung der Entschädigung für den enteigneten Boden ausser Betracht, weil mit dem durch Enteignungsvertrag festgelegten Kaufpreis und den weiteren, nicht mehr bestrittenen Vergütungen alle Ansprüche der Enteigneten auf Entschädigung für die Liegenschaft Nr. 122 abgegolten worden sind: Die Enteignerin hat die Stockwerkeigentumsanteile der Beschwerdeführer zum Preise von insgesamt Fr. 571'008.-- erworben. Dieser Preis entspricht der Bewertung, die die Schatzungskommission für die Stockwerkeigentumsanteile der Enteigneten vorgenommen hat. Die Schatzungskommission hat den Verkehrswert dieser Anteile, wie sich aus dem Schatzungsprotokoll vom 19. Januar 2000 ergibt, anhand des Realwertes (Neuwert des Gebäudes minus Altersentwertung) sowie des Ertragswertes ermittelt, wobei die beiden Werte gleich gewichtet worden sind. Davon abgesehen, dass auch der Landwert in den Realwert hätte einbezogen werden müssen (vgl. BGE 128 II 74 E. 5), ist somit der Verkehrswert der Stockwerkeigentumsanteile gleich festgesetzt worden, wie wenn sich die fragliche Liegenschaft ausserhalb der Gefahrenzone befunden hätte. Nun liegt nicht nur das unüberbaute Land, bei dessen Wertbestimmung der besonderen Lage Rechnung getragen worden ist, sondern auch das Wohnhaus in der Gefahrenzone 1, in welcher nach Art. 31 Abs. 2 des kantonalen Gesetzes zur Ausführung des Bundesgesetzes über die Raumplanung vom 23. Januar 1987 (SGS 701.1) keine Bauvorhaben bewilligt werden dürfen, die zu einer Gefährdung von Menschen, Tieren und erheblichen Sachwerten führen könnten. Wie das Kantonsgericht zu Recht dargelegt hat, ist diese gefahrenexponierte Lage des enteigneten Grundstücks nicht auf den Bau der Lawinenleitdämme zurückzuführen, sondern hat vorbestanden; das hat sich bei den Lawinenniedergängen im Februar 1999, durch welche das Garagengebäude beschädigt worden ist, deutlich gezeigt. Die zuständigen Behörden hätten daher die Benutzung der Gebäude zumindest im Winter untersagen können, ohne dass hierfür den Enteigneten irgendein Entschädigungsanspruch erwachsen wäre. Nach bundesgerichtlicher Rechtsprechung sind nämlich polizeiliche Eigentumsbeschränkungen ohne Rücksicht auf ihre Schwere grundsätzlich entschädigungslos hinzunehmen, wenn mit der fraglichen Massnahme eine konkrete, das heisst ernsthafte und unmittelbare Gefahr für die öffentliche Ordnung, Sicherheit und Gesundheit abgewendet werden soll. Dies gilt auch, wenn es zu verhindern gilt, dass sich der Grundeigentümer selbst (weiterhin) erheblicher Gefahr aussetzt ( BGE 106 Ib 330 E. 4; 336 E. 5 insbes. E. 5c/aa S. 339 ; 96 I 350 E. 4 S. 356). Jedenfalls ist klar, dass die Tatsache, dass eine Wohnbaute in der Gefahrenzone liegt und ihre Benutzung eingeschränkt werden kann, deren Verkehrswert erheblich beeinträchtigt. Diesem Umstand ist bei der Verkehrswertbestimmung durch die Schatzungskommission und demnach auch bei der Festsetzung des Kaufpreises für die Stockwerkeigentumsanteile keine Rechnung getragen worden. Sind aber bei der Ermittlung der hauptsächlichen Entschädigung für das Enteignungsobjekt wesentliche wertvermindernde Gegebenheiten ausser Acht geblieben, so liesse es sich nicht rechtfertigen, die Entschädigung in einem Nebenpunkt zu erhöhen, selbst wenn dieser Entschädigungsposten für sich allein gesehen auch hätte anders bemessen werden können.</w:t>
      </w:r>
    </w:p>
    <w:p>
      <w:r>
        <w:rPr>
          <w:b/>
        </w:rPr>
        <w:t>E. 3</w:t>
      </w:r>
    </w:p>
    <w:p>
      <w:r>
        <w:t>Die angestellten Erwägungen gelten sinngemäss ebenfalls für die Entschädigung, die für die Parzelle Nr. 10 zugesprochen worden ist und die nach dem Begehren des Enteigneten A.X.________ zu erhöhen wäre. Soweit die Parkplätze auf Parzelle Nr. 10 ausschliesslich den Eigentümern und Mietern der Liegenschaften Nrn. 122 und 123 dienten, hätten sie aufgrund der wirtschaftlichen Zusammengehörigkeit gemeinsam mit diesen Grundstücken bewertet werden sollen. Da wie dargelegt bei den Schätzungen für die Hauptliegenschaften die Gefahrensituation unbeachtet blieb, hätte jedoch die Tatsache, dass diese Parkplätze zur Verfügung standen, zu keiner Erhöhung der bereits zugestandenen Entschädigungen führen können. Was die von der Gemeinde gemieteten Parkplätze anbelangt, so sind dem Beschwerdeführer die bis zum Ablauf des Mietvertrages geschuldeten Mietzinse ersetzt worden. Zudem ist ihm eine Ertragswertsentschädigung von Fr. 4'000.-- zugesprochen worden, wie wenn der Mietvertrag mit den gleichen Bedingungen stets erneuert worden wäre. Weshalb diese Entschädigung, wie der Beschwerdeführer verlangt, aufgrund des Gebotes von Treu und Glauben erhöht werden müsste, ist nicht ersichtlich. Die Gemeinde hat selbst nie geltend gemacht, dass die Nutzung eines Teils der Parzelle Nr. 10 als Parkfläche rechtswidrig gewesen sei, und hat sich auch der der Ertragswertermittlung zugrunde gelegten Annahme, die Miete wäre verlängert worden, nicht widersetzt. Dabei hätte die Weiternutzung des ebenfalls in der Gefahrenzone 1 liegenden Parkplatzes selbst dann, wenn er seinerzeit bewilligt worden wäre, keinesfalls als gesichert gelten können. Im Übrigen hat die Gemeinde die Kosten für die Erstellung der öffentlichen Parkplätze selbst übernommen. Der Enteignete kann daher auch nicht geltend machen, er hätte aufgewendete Kosten nicht mehr abschreiben können. Schliesslich trifft auch nicht zu, dass dem Beschwerdeführer für die Parkfläche nur eine Entschädigung für landwirtschaftlichen Boden zugesprochen worden sei. Das Kantonsgericht hat die Entschädigung für die gemäss den Angaben der Revisionskommission rund 450 m2 umfassende Gesamtparkfläche (abgesehen vom Mietzinsverlust von Fr. 600.--) auf Fr. 18'350.-- bzw. rund Fr. 40.--/m2 festgelegt und damit dem Enteigneten eine landwirtschaftliche Preise klar übersteigende Vergütung zuerkannt. Eine Erhöhung dieser Entschädigung fällt nicht in Betracht.</w:t>
      </w:r>
    </w:p>
    <w:p>
      <w:r>
        <w:rPr>
          <w:b/>
        </w:rPr>
        <w:t>E. 4</w:t>
      </w:r>
    </w:p>
    <w:p>
      <w:r>
        <w:t>Die staatsrechtliche Beschwerde ist nach dem Gesagten abzuweisen. Die bundesgerichtlichen Kosten sind dem Ausgang des Verfahrens entsprechend den Beschwerdeführern aufzuerlegen ( Art. 156 Abs. 1 OG ). Diese haben der Gemeinde Grafschaft, die einen Rechtsanwalt beigezogen hat, für das bundesgerichtliche Verfahren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