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1P.416/2001 vom 5. Juni 2001</w:t>
      </w:r>
    </w:p>
    <w:p>
      <w:r>
        <w:t>Bundesgericht, 2001-06-05, DE</w:t>
      </w:r>
    </w:p>
    <w:p>
      <w:r>
        <w:rPr>
          <w:b/>
        </w:rPr>
        <w:t xml:space="preserve">Quelle: </w:t>
      </w:r>
      <w:r>
        <w:t>https://mcp.opencaselaw.ch/entscheid/bger_1P.416_2001</w:t>
      </w:r>
    </w:p>
    <w:p>
      <w:r>
        <w:t>FR: TF 1P.416/2001 du 5 juin 2001</w:t>
      </w:r>
    </w:p>
    <w:p>
      <w:r>
        <w:t>IT: TF 1P.416/2001 del 5 giugno 2001</w:t>
      </w:r>
    </w:p>
    <w:p>
      <w:pPr>
        <w:pStyle w:val="Heading2"/>
      </w:pPr>
      <w:r>
        <w:t>Regeste</w:t>
      </w:r>
    </w:p>
    <w:p>
      <w:r>
        <w:t>Strafprozess</w:t>
      </w:r>
    </w:p>
    <w:p>
      <w:pPr>
        <w:pStyle w:val="Heading2"/>
      </w:pPr>
      <w:r>
        <w:t>Erwägungen</w:t>
      </w:r>
    </w:p>
    <w:p>
      <w:r>
        <w:rPr>
          <w:b/>
        </w:rPr>
        <w:t>E. 1</w:t>
      </w:r>
    </w:p>
    <w:p>
      <w:r>
        <w:t>Der Gesuchsteller war im Verfahren, das zum Entscheid vom 5. Juni 2001 führte, nicht Partei, sondern Parteivertreter. Er ist daher nicht legitimiert, im eigenen Namen ein Erläuterungsgesuch zu stellen. Dieses ist daher schon aus diesem Grund unzulässig. Das Erläuterungsgesuch wäre aber auch materiell unzulässig, weil der Gesuchsteller eine Nachbesserung der seiner Auffassung nach unvollständigen bzw. unklaren oder unrichtigen Entscheidbegründung verlangt. Die Erläuterung nach Art. 145 Abs. 1 OG ist nach dem klaren Gesetzeswortlaut nur zulässig, um geltend zu machen, das Dispositiv sei unklar, unvollständig, zweideutig oder widersprüchlich.</w:t>
      </w:r>
    </w:p>
    <w:p>
      <w:r>
        <w:rPr>
          <w:b/>
        </w:rPr>
        <w:t>E. 2</w:t>
      </w:r>
    </w:p>
    <w:p>
      <w:r>
        <w:t>Das Erläuterungsgesuch ist somit unzulässig, weshalb darauf nicht einzutreten ist. Bei diesem Ausgang des Verfahrens hat der Gesuchsteller die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