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1P.415/2000 vom 10. März 2000</w:t>
      </w:r>
    </w:p>
    <w:p>
      <w:r>
        <w:t>Bundesgericht, 2000-03-10, FR</w:t>
      </w:r>
    </w:p>
    <w:p>
      <w:r>
        <w:rPr>
          <w:b/>
        </w:rPr>
        <w:t xml:space="preserve">Quelle: </w:t>
      </w:r>
      <w:r>
        <w:t>https://mcp.opencaselaw.ch/entscheid/bger_1P.415_2000</w:t>
      </w:r>
    </w:p>
    <w:p>
      <w:r>
        <w:t>FR: TF 1P.415/2000 du 10 mars 2000</w:t>
      </w:r>
    </w:p>
    <w:p>
      <w:r>
        <w:t>IT: TF 1P.415/2000 del 10 marzo 2000</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il a un intérêt personnel, actuel et juridiquement protégé à ce que cet arrêt soit annulé,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 vaud.).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La gravité de l'infraction ne peut à elle seule fonder la prolongation de la détention préventive ( ATF 106 Ia 404 consid. 4c p. 407), même si, compte tenu de l'ensemble des circonstances, elle permet souvent de présumer l'existence d'un risque de fuite eu égard à l'importance de la peine privative de liberté dont l'intéressé est menacé ( ATF 117 Ia 69 consid. 4a p. 70 et les arrêts cités). Préalablement à ces conditions, il doit exister à l'égard de celui-ci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conteste l'existence de charges suffisantes pour le maintenir en détention préventive. Il se plaint à cet égard d'une violation des art. 9, 10 al. 2, 31 al. 1 et 32 al. 1 Cst. ainsi que des art. 5 et 6 CEDH . a) Appelé à se prononcer sur la constitutionnalité d'une décision de maintien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 ATF 116 Ia 143 consid. 3c p. 146; Gérard Piquerez, Les mesures provisoires en procédure civile, administrative et pénale, RDS 116/1997 II p. 1 ss, spéc. pp. 43/44 et les arrêts cités). b) Le recourant est mis en cause dans une affaire instruite contre des mineurs pour leur avoir vendu des stupéfiants en vue de revente. La cour cantonale se fonde à cet égard sur les renseignements de police recueillis par le Juge d'instruction ainsi que sur les écoutes téléphoniques mises en oeuvre dans le cadre de la présente procédure. Lors d'une conversation téléphonique tenue le 2 février 2000, à 16h40, I.________ a en effet demandé à M.________ s'il savait "quelque chose pour ces garçons". Ce dernier lui a répondu qu'il avait vu "son frère" et qu'"ils n'ont trouvé sur eux que des leks". Certes, M.________ a déclaré par la suite qu'il était seul impliqué dans cette affaire et que I.________ n'était pas au courant de ce que faisaient ces garçons. Il appartiendra cependant au Juge d'instruction d'orienter ses recherches sur cet aspect de l'accusation et de déterminer le rôle respectif des deux hommes dans cette affaire. En l'état actuel de l'enquête, la cour cantonale n'a pas fait preuve d'arbitraire en voyant dans cette conversation téléphonique un indice sérieux de la possible implication du recourant dans un trafic de drogue mettant en cause des mineurs, venant corroborer les renseignements de police. Par ailleurs, dans la mesure où I.________ a eu accès aux retranscriptions des écoutes téléphoniques à la suite de l'arrêt rendu le 5 mai 2000 par le Tribunal fédéral, le droit d'être entendu a été respecté sur ce point. Le recourant conteste également avoir participé au trafic de stupéfiants auquel s'adonnerait M.________. Il prétend avoir reçu un téléphone mobile de ce dernier sur lequel les fournisseurs de M.________ auraient continué à appeler sans qu'il sache de quoi il retourne. Ces explications ne permettent cependant pas d'exclure toute implication du prévenu dans un trafic de stupéfiants, notamment dans la transaction portant sur les 7 kilos d'héroïne saisis en main de M.________ le 10 février 2000. Le recourant aurait en effet eu des contacts avec le fournisseur de la drogue ainsi qu'avec d'autres personnes impliquées dans le financement de ce trafic, lorsqu'il a accompagné M.________ à la gare d'Olten, à Châtel-St-Denis, à Berne et à Genève; il se serait en outre proposé pour aller chercher l'argent nécessaire à payer la drogue et l'amener à son destinataire, comme cela résulte d'une conversation téléphonique qu'il a eue le 2 février 2000, à 18h45 avec M.________. L'autorité intimée pouvait voir dans ces différents éléments un indice suffisant que le recourant a eu un rôle peut-être plus actif dans l'opération du 10 février 2000, malgré ses dénégations et les déclarations de son coaccusé postérieures à l'arrêt attaqué, pour autant que l'on puisse en tenir compte dans le cadre d'un recours soumis à l'exigence de l'épuisement des instances cantonales (cf. art. 86 al. 1 OJ ). Sur ce point également, il appartiendra au Juge d'instruction de procéder aux investigations nécessaires aux fins de déterminer le rôle exact joué par I.________ dans cette opération, en entendant les autres personnes impliquées qui ont été arrêtées dans l'intervalle.</w:t>
      </w:r>
    </w:p>
    <w:p>
      <w:r>
        <w:rPr>
          <w:b/>
        </w:rPr>
        <w:t>E. 4</w:t>
      </w:r>
    </w:p>
    <w:p>
      <w:r>
        <w:t>Le recourant conteste également l'existence d'un risque de collusion propre à fonder son maintien en détention. a) Une telle mesure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 b) La cour cantonale a tenu le risque de collusion pour établi sur la base des investigations en cours afin de déterminer la nature et l'ampleur de l'activité délictueuse du prévenu, dont l'issue pourrait être compromise si celui-ci était remis en liberté. Elle n'indique toutefois pas de quelles opérations il s'agit ni par quels moyens le recourant pourrait s'opposer à leur bon déroulement. De ce point de vue, l'arrêt attaqué ne répond pas aux exigences de motivation dégagées par la jurisprudence. Dans son ordonnance du 10 mars 2000, le Juge d'instruction a vu un danger de collusion dans le fait que I.________ avait eu des contacts avec les fournisseurs de M.________ et d'autres personnes impliquées notamment dans le financement de ce trafic et que ces personnes n'avaient pas toutes formellement été identifiées ou interpellées. Or, depuis lors, l'homme qui a fourni les 7 kilos d'héroïne à M.________ et celui qui a avancé la somme de 7'000 fr. pour payer une partie de la drogue ont tous deux été arrêtés. Si un risque concret de collusion, motivé par la possibilité que le prévenu puisse influencer d'une manière ou d'une autre ces personnes, pouvait à la rigueur encore se justifier s'agissant de l'opération pour laquelle il a été arrêté, ce risque a disparu avec leur arrestation et n'existait plus lorsque l'autorité intimée a statué. Le recourant est également soupçonné d'avoir vendu de la drogue à des mineurs qui ont été arrêtés quelques jours avant son interpellation. Pour l'heure, l'instruction ne paraît pas avoir porté sur cet aspect de l'accusation, de sorte qu'il n'est pas possible de définir concrètement le danger de collusion que pourrait impliquer la libération éventuelle du prévenu sur le déroulement de l'enquête. Pour le surplus, il n'est pas établi que le recourant ait des liens avec d'autres personnes impliquées dans le trafic de stupéfiants dans lequel M.________ serait compromis et qui n'ont apparemment à ce jour pas été appréhendées, de sorte qu'en l'absence d'éléments concrets sur ce point, il est exclu de motiver la détention par un risque de collusion. c) L'autorité intimée n'a pas invoqué d'autres motifs de détention à l'appui de son arrêt et il n'appartient pas au Tribunal fédéral de vérifier d'office si de tels motifs existent. La décision attaquée doit dès lors être annulée pour cette raison, sans qu'il y ait lieu d'examiner les autres griefs invoqués. Cela ne signifie pas pour autant que le recourant doive être libéré car il n'est pas exclu que son maintien en détention puisse être ordonné pour des raisons liées aux besoins de l'enquête ou pour d'autres motifs. Il appartiendra au Juge d'instruction de réexaminer cette question sur le vu du résultat des diverses mesures d'instruction entreprises jusqu'à maintenant (cf. ATF 125 I 113 consid. 3 p. 118; 116 Ia 60 consid. 3b p. 64; 115 Ia 293 consid. 5g p. 308; 114 Ia 88 consid. 5d p. 93).</w:t>
      </w:r>
    </w:p>
    <w:p>
      <w:r>
        <w:rPr>
          <w:b/>
        </w:rPr>
        <w:t>E. 5</w:t>
      </w:r>
    </w:p>
    <w:p>
      <w:r>
        <w:t>Le recours doit ainsi être admis dans le sens des considérants, ce qui rend sans objet la demande d'assistance judiciaire. Conformément à l' art. 156 al. 2 OJ , le canton de Vaud est dispensé des frais judiciaires; il versera en revanche une indemnité de dépens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