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1P.406/2005 vom 9. Januar 2006</w:t>
      </w:r>
    </w:p>
    <w:p>
      <w:r>
        <w:t>Bundesgericht, 2006-01-09, FR</w:t>
      </w:r>
    </w:p>
    <w:p>
      <w:r>
        <w:rPr>
          <w:b/>
        </w:rPr>
        <w:t xml:space="preserve">Quelle: </w:t>
      </w:r>
      <w:r>
        <w:t>https://mcp.opencaselaw.ch/entscheid/bger_1P.406_2005</w:t>
      </w:r>
    </w:p>
    <w:p>
      <w:r>
        <w:t>FR: TF 1P.406/2005 du 9 janvier 2006</w:t>
      </w:r>
    </w:p>
    <w:p>
      <w:r>
        <w:t>IT: TF 1P.406/2005 del 9 gennaio 2006</w:t>
      </w:r>
    </w:p>
    <w:p>
      <w:pPr>
        <w:pStyle w:val="Heading2"/>
      </w:pPr>
      <w:r>
        <w:t>Regeste</w:t>
      </w:r>
    </w:p>
    <w:p>
      <w:r>
        <w:t>art. 9 et 26 Cst. (refus d'autorisation de construire, ordre de remise en état et amende administrative) | Droit fondamental</w:t>
      </w:r>
    </w:p>
    <w:p>
      <w:pPr>
        <w:pStyle w:val="Heading2"/>
      </w:pPr>
      <w:r>
        <w:t>Erwägungen</w:t>
      </w:r>
    </w:p>
    <w:p>
      <w:r>
        <w:rPr>
          <w:b/>
        </w:rPr>
        <w:t>E. 1</w:t>
      </w:r>
    </w:p>
    <w:p>
      <w:r>
        <w:t>Le recours de droit public est formé en temps utile contre un arrêt final rendu en dernière instance cantonale. L'arrêt attaqué confirme un refus d'autorisation de construire, ainsi qu'une amende et un ordre de remise en état des appartements. En tant que propriétaire de ces derniers, le recourant a qualité pour agir ( art. 88 OJ ). L'argumentation du recourant est dirigée essentiellement contre le refus d'autorisation de construire et l'ordre de remise en l'état. L'amende administrative, motivée par l'exécution de travaux sans autorisation, ne fait l'objet d'aucune argumentation conforme à l' art. 90 al. 1 let. b OJ . Le recours est par conséquent irrecevable sur ce point.</w:t>
      </w:r>
    </w:p>
    <w:p>
      <w:r>
        <w:rPr>
          <w:b/>
        </w:rPr>
        <w:t>E. 2</w:t>
      </w:r>
    </w:p>
    <w:p>
      <w:r>
        <w:t>Le recourant formule diverses "remarques liminaires". Il estime que l'interdiction de louer son appartement à ses proches violerait le droit fédéral, en particulier les art. 261 al. 2 let. a et 272 al. 2 let. d CO. Il relève aussi que l'absence d'une salle de bains dans l'appartement 4.02 serait contraire à l'art. 53 al. 2 LCI, et présenterait également un danger pour la santé des habitants, au sens de l'art. 9 al. 1 let. a LDTR; la création d'un appartement de 5,5 pièces et de 101 m2 correspondrait aux besoins de la population. Le recourant n'entend toutefois pas faire de ces remarques des griefs distincts. La première d'entre elles n'a d'ailleurs pas été soumise à la cour cantonale ( art. 86 al. 1 OJ ), et les deux autres recoupent largement l'argumentation principale du recours.</w:t>
      </w:r>
    </w:p>
    <w:p>
      <w:r>
        <w:rPr>
          <w:b/>
        </w:rPr>
        <w:t>E. 3</w:t>
      </w:r>
    </w:p>
    <w:p>
      <w:r>
        <w:t>Le recourant se plaint d'arbitraire dans l'application de l'art. 9 LDTR. Le Tribunal administratif aurait méconnu que l'appartement de 2,5 pièces était insalubre et ne pouvait ainsi être loué. Vouloir éviter à ses occupants de passer par le pallier pour se rendre dans la salle de bains de l'appartement voisin ne relevait pas de la convenance personnelle. Il serait contraire aux buts de la LDTR de laisser inoccupé l'appartement n° 4.02. Le recourant invoque également la garantie de la propriété; le refus de l'autorisation de construire ne permettrait pas d'atteindre le but recherché, puisqu'un appartement demeurerait inoccupé. L'occupation par les proches du propriétaire soustrairait de toute façon les appartements au marché locatif, de sorte que l'intérêt public serait hypothétique. La demande serait plus forte pour les appartements de 5 pièces que pour ceux de 2,5 et 3,5 pièces.</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90 al. 1 let. b OJ ( ATF 131 I 217 consid. 2.1 p. 219 et la jurisprudence citée).</w:t>
      </w:r>
    </w:p>
    <w:p>
      <w:r>
        <w:rPr>
          <w:b/>
        </w:rPr>
        <w:t>E. 3.2</w:t>
      </w:r>
    </w:p>
    <w:p>
      <w:r>
        <w:t>Selon l'art. 9 LDTR, une autorisation est nécessaire pour transformer une maison d'habitation. Cette autorisation est accordée pour des motifs de sécurité et de salubrité, d'intérêt public ou d'intérêt général, en particulier lorsque les travaux permettent la réalisation de logements supplémentaires (art. 9 al. 1 let. a à c LDTR). Les logements transformés doivent répondre quant à leur genre, leur loyer ou leur prix, aux besoins prépondérants de la population, c'est-à-dire être proposés à des loyers accessibles à la majorité de la population. (art. 9 al. 2 et 3 LDTR). Le Tribunal fédéral a déjà eu l'occasion de considérer que la réglementation mise en place par la LDTR était en soi conforme au droit fédéral et à la garantie de la propriété, y compris dans la mesure où elle prévoit un contrôle des loyers après transformations (cf. ATF 116 Ia 401 consid. 9 p. 414).</w:t>
      </w:r>
    </w:p>
    <w:p>
      <w:r>
        <w:rPr>
          <w:b/>
        </w:rPr>
        <w:t>E. 3.3</w:t>
      </w:r>
    </w:p>
    <w:p>
      <w:r>
        <w:t>La solution confirmée par le Tribunal administratif correspond au but poursuivi par la loi, et ne peut être qualifiée d'arbitraire. La réunion de deux appartements affectés jusqu'ici à la location a en effet pour conséquence évidente de faire disparaître un appartement du marché de la location, ce que la loi tend justement à éviter (cf. art. 9 al. 1 let . c a contrario LDTR). Le recourant admet que le nouvel appartement est destiné à un unique ménage; il ne peut dès lors plus prétendre que l'ouverture pratiquée entre les appartements aurait pour but de faciliter l'accès des occupants de l'appartement n° 4.02 à la salle de bains de l'appartement voisin.</w:t>
      </w:r>
    </w:p>
    <w:p>
      <w:r>
        <w:rPr>
          <w:b/>
        </w:rPr>
        <w:t>E. 3.4</w:t>
      </w:r>
    </w:p>
    <w:p>
      <w:r>
        <w:t>A l'appui de son argument relatif à la garantie de la propriété ( art. 26 Cst. ), le recourant conteste l'existence d'un intérêt public prépondérant. Il met en doute la proportionnalité des mesures contestées. A cet égard, il est sans importance que les logements soient pour le moment soustraits au marché locatif en raison de leur occupation par des proches du propriétaire. Le but de la loi est d'éviter une disparition à long terme des logements à usage locatif, et rien n'exclut que ces appartements soient un jour à nouveau loués, comme ils l'ont du reste été jusqu'en 2000 et 2003. Quelle que soit leur utilisation actuelle, les appartements restent soumis, de par leur genre, à la LDTR. L'argument selon lequel l'appartement de 2,5 pièces serait actuellement insalubre, n'est pas mieux fondé: l'installation d'une salle d'eau, même rudimentaire, peut se faire sans dépenses excessives. Le recourant ne saurait enfin prétendre que la demande serait plus importante pour les appartements de 5 pièces que pour ceux de 2,5 ou 3,5 pièces. En effet, selon l'arrêté du Conseil d'Etat du 29 novembre 2004 déterminant les catégories d'appartement où sévit la pénurie, le taux de vacance est de 0,15% pour les appartements de 2,5 et 3 pièces, et de 0,12% pour ceux de 5 pièces. Cette différence, plus marquée pour les appartements de 6 et 7 pièces (0.21% et 0,37% de taux de vacance), est minime au regard du taux de 2% déterminant, selon l'art. 25 al. 2 LDTR, pour admettre la pénurie. Elle ne justifie pas que l'on privilégie un type d'appartement au détriment d'un autre.</w:t>
      </w:r>
    </w:p>
    <w:p>
      <w:r>
        <w:rPr>
          <w:b/>
        </w:rPr>
        <w:t>E. 4</w:t>
      </w:r>
    </w:p>
    <w:p>
      <w:r>
        <w:t>Sur le vu de ce qui précède, le recours doit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