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1P.406/2004 vom 27. Oktober 2004</w:t>
      </w:r>
    </w:p>
    <w:p>
      <w:r>
        <w:t>Bundesgericht, 2004-10-27, DE</w:t>
      </w:r>
    </w:p>
    <w:p>
      <w:r>
        <w:rPr>
          <w:b/>
        </w:rPr>
        <w:t xml:space="preserve">Quelle: </w:t>
      </w:r>
      <w:r>
        <w:t>https://mcp.opencaselaw.ch/entscheid/bger_1P.406_2004</w:t>
      </w:r>
    </w:p>
    <w:p>
      <w:r>
        <w:t>FR: TF 1P.406/2004 du 27 octobre 2004</w:t>
      </w:r>
    </w:p>
    <w:p>
      <w:r>
        <w:t>IT: TF 1P.406/2004 del 27 ottobre 2004</w:t>
      </w:r>
    </w:p>
    <w:p>
      <w:pPr>
        <w:pStyle w:val="Heading2"/>
      </w:pPr>
      <w:r>
        <w:t>Regeste</w:t>
      </w:r>
    </w:p>
    <w:p>
      <w:r>
        <w:t>§§ 76 Abs. 2 und 77 Abs. 2 KV/AG, Art. 8 Abs. 1 und Art. 34 BV (Wahlverfahren für den Grossen Rat) | Politische Rechte</w:t>
      </w:r>
    </w:p>
    <w:p>
      <w:pPr>
        <w:pStyle w:val="Heading2"/>
      </w:pPr>
      <w:r>
        <w:t>Erwägungen</w:t>
      </w:r>
    </w:p>
    <w:p>
      <w:r>
        <w:rPr>
          <w:b/>
        </w:rPr>
        <w:t>E. 1</w:t>
      </w:r>
    </w:p>
    <w:p>
      <w:r>
        <w:t>Die beiden Stimmrechtsbeschwerden stehen in engem sachlichem Zusammenhang und sind daher zu vereinigen.</w:t>
      </w:r>
    </w:p>
    <w:p>
      <w:r>
        <w:rPr>
          <w:b/>
        </w:rPr>
        <w:t>E. 2</w:t>
      </w:r>
    </w:p>
    <w:p>
      <w:r>
        <w:t>Auf Stimmrechtsbeschwerde nach Art. 85 lit. a OG hin beurteilt das Bundesgericht Beschwerden betreffend die politische Stimmberechtigung der Bürgerinnen und Bürger in kantonalen Wahlen und Abstimmungen.</w:t>
      </w:r>
    </w:p>
    <w:p>
      <w:r>
        <w:rPr>
          <w:b/>
        </w:rPr>
        <w:t>E. 2.1</w:t>
      </w:r>
    </w:p>
    <w:p>
      <w:r>
        <w:t>Die Beschwerde 1P.458/2004 richtet sich gegen den Beschluss des Regierungsrates vom 30. Juni 2004, mit welchem er die am 18. Mai 2003 beschlossenen Verfassungsänderungen auf den 1. September 2004 in Kraft setzte. Der aargauische Verfassungsgeber beschloss am 18. Mai 2003, den Grossen Rat zu verkleinern (§ 76 Abs. 2 KV), und sieht gleichzeitig vor, dass durch Gesetz Bezirke als Wahlkreise zu Wahlkreisverbänden zusammengeschlossen werden können (§ 77 Abs. 2 KV). Dieser Beschluss blieb unangefochten und wurde vom Bund gewährleistet. Die Beschwerdeführer machen nicht geltend, dieser Entscheid sei verfassungswidrig. Die In-Kraft-Setzung dieses Volksentscheides kann nun aber das Stimmrecht, auf das sich die Beschwerdeführer berufen, von vornherein nicht verletzen, auch wenn die Wahlkreisverbände, die die Beschwerdeführer fordern, (noch) nicht geschaffen wurden. Vielmehr mussten die geänderten Verfassungsbestimmungen in Kraft gesetzt werden, um dem Gesetzgeber zu ermöglichen, über die Ausführungsgesetzgebung dazu Beschluss zu fassen. Erweist sich die gesetzliche Grundlage für die Wahl des auf 140 Mitglieder verkleinerten Grossen Rates ohne die streitige Schaffung von Wahlkreisverbänden als verfassungswidrig, wird das Stimm- und Wahlrecht, auf das sich die Beschwerdeführer berufen, durch einen Entscheid in dieser Frage - die im Beschwerdeverfahren 1P.406/2004 zu prüfen ist - gewahrt. Ist dies zu verneinen, kann auch der angefochtene In-Kraft-Setzungs-Beschluss nicht gegen das Stimm- und Wahlrecht verstossen. Die Stimmrechtsbeschwerde 1P.458/2004 ist daher abzuweisen, soweit darauf überhaupt eingetreten werden kann.</w:t>
      </w:r>
    </w:p>
    <w:p>
      <w:r>
        <w:rPr>
          <w:b/>
        </w:rPr>
        <w:t>E. 2.2</w:t>
      </w:r>
    </w:p>
    <w:p>
      <w:r>
        <w:t>Für den mithin zutreffenden Fall, dass der Regierungsratsbeschluss vom 30. Juni 2004 kein "taugliches Anfechtungsobjekt" sei, beantragen die Beschwerdeführer, das geltende Grossratswahlgesetz als verfassungswidrig zu qualifizieren und den Regierungsrat anzuweisen, die kommenden Grossratswahlen auf der Basis von 200 Mitgliedern durchzuführen, bis ein bundesrechtskonformes Grossratswahlgesetz vorliege. Dies ist daher als das massgebliche Rechtsbegehren der Beschwerdeführer im Verfahren 1P.406/2004 zu betrachten.</w:t>
      </w:r>
    </w:p>
    <w:p>
      <w:r>
        <w:rPr>
          <w:b/>
        </w:rPr>
        <w:t>E. 2.2.1</w:t>
      </w:r>
    </w:p>
    <w:p>
      <w:r>
        <w:t>Die Beschwerdeführer machen geltend, die Durchführung von Grossratswahlen nach den nach der Volksabstimmung geltenden Ausführungsbestimmungen zu den §§ 76 Abs. 2 und 77 Abs. 2 KV in der Fassung vom 18. Mai 2003 verletze ihr Stimmrecht. Das ist zulässig, auch wenn sich die Beschwerde nicht gegen das richtet, was im geänderten Gesetz steht, sondern was darin im Sinne eines qualifizierten Schweigens nicht steht, nämlich der ausdrücklich abgelehnte Zusammenschluss der kleineren Wahlkreise zu Wahlkreisverbänden. Eine derartige Rüge ist mit Stimmrechtsbeschwerde zu erheben (ZBl 95/1994 S. 228 E. 1; vgl. auch ZBl 95/1994 222 E. 1a; BGE 118 Ia 184 E. 1a; 113 Ia 388 E. 1b).</w:t>
      </w:r>
    </w:p>
    <w:p>
      <w:r>
        <w:rPr>
          <w:b/>
        </w:rPr>
        <w:t>E. 2.2.2</w:t>
      </w:r>
    </w:p>
    <w:p>
      <w:r>
        <w:t>Bei den Beschwerdeführern handelt es sich einerseits um Stimmberechtigte des Kantons Aargau, welche ohne weiteres zur Stimmrechtsbeschwerde befugt sind ( BGE 121 I 357 E. 2a; 120 Ia 194 E. 1c), anderseits um politische Parteien, die nach der Rechtsprechung beschwerdebefugt sind, wenn sie als juristische Personen organisiert sind. Ob dies zutrifft, belegen die Beschwerdeführer in der Beschwerde unter Missachtung ihrer auch für Stimmrechtsbeschwerden geltenden Begründungspflicht ( Art. 90 Abs. 1 lit. b OG ; BGE 121 I 334 E. 1b, 357 E. 2d; 114 Ia 395 E. 4) nicht; es ist nicht Sache des Bundesgerichts, dies abzuklären. Wie es sich damit verhält, kann hier jedoch offen bleiben, da die beschwerdeführenden natürlichen Personen ohnehin zur Stimmrechtsbeschwerde legitimiert sind.</w:t>
      </w:r>
    </w:p>
    <w:p>
      <w:r>
        <w:rPr>
          <w:b/>
        </w:rPr>
        <w:t>E. 2.2.3</w:t>
      </w:r>
    </w:p>
    <w:p>
      <w:r>
        <w:t>Die übrigen Sachurteilsvoraussetzungen geben zu keinen Bemerkungen Anlass, sodass auf die Beschwerde einzutreten ist.</w:t>
      </w:r>
    </w:p>
    <w:p>
      <w:r>
        <w:rPr>
          <w:b/>
        </w:rPr>
        <w:t>E. 2.3</w:t>
      </w:r>
    </w:p>
    <w:p>
      <w:r>
        <w:t>Auf Stimmrechtsbeschwerde hin prüft das Bundesgericht die Auslegung von Bundesrecht und kantonalem Recht aller Stufen, das den Inhalt des Stimmrechts umschreibt oder mit diesem in engem Zusammenhang steht, mit freier Kognition. In ausgesprochenen Zweifelsfällen schliesst es sich allerdings der von der obersten kantonalen Behörde vertretenen Auffassung an, sofern es sich dabei um das Parlament oder das Volk handelt ( BGE 129 I 185 E. 2; 118 Ia 422 E. 1e; 113 Ia 390 E. 3 mit Hinweisen).</w:t>
      </w:r>
    </w:p>
    <w:p>
      <w:r>
        <w:rPr>
          <w:b/>
        </w:rPr>
        <w:t>E. 3.1</w:t>
      </w:r>
    </w:p>
    <w:p>
      <w:r>
        <w:t>Art. 34 BV gewährleistet in Abs. 1 allgemein die politischen Rechte und schützt in Abs. 2 ausdrücklich die freie Willensbildung und die unverfälschte Stimmabgabe. Dieser Grundsatz der Wahl- und Abstimmungsfreiheit dient der Konkretisierung der politischen Gleichheit, die mit der Rechtsgleichheit von Art. 8 Abs. 1 BV eng verknüpft ist. Als Bestandteil der Wahl- und Abstimmungsfreiheit kommt dem Gleichheitsgebot für die politischen Rechte besondere Bedeutung zu. Aus der Rechtsgleichheit und der politischen Gleichberechtigung im Speziellen folgt die Wahlrechtsgleichheit. Diese erheischt insbesondere, dass allen Stimmen bei der Zählung nicht nur derselbe Wert und dieselbe Stimmkraft, sondern auch derselbe Erfolg zukommt (Erfolgswertgleichheit). Alle Stimmen sollen in gleicher Weise zum Wahlergebnis beitragen, und möglichst alle Stimmen sind bei der Mandatsverteilung zu berücksichtigen. Die Zahl der gewichtslosen Stimmen ist auf ein Minimum zu begrenzen. Die Erfolgswertgleichheit erfasst damit nicht nur den Anspruch auf Verwertung der Stimme, sondern bedingt auch eine innerhalb des gesamten Wahlgebietes gleiche Verwirklichung des Erfolgswertes. Damit hat sie wahlkreisübergreifenden Charakter ( BGE 129 I 185 E. 7.2 und 7. 3 mit Hinweisen).</w:t>
      </w:r>
    </w:p>
    <w:p>
      <w:r>
        <w:rPr>
          <w:b/>
        </w:rPr>
        <w:t>E. 3.2</w:t>
      </w:r>
    </w:p>
    <w:p>
      <w:r>
        <w:t>Die Kantone sind in der Ausgestaltung ihres politischen Systems weitgehend frei. Art. 39 Abs. 1 BV verpflichtet sie lediglich, die Ausübung der politischen Rechte nach republikanischen (repräsentativen oder demokratischen) Formen zu sichern. Diesen verfassungsrechtlichen Anforderungen genügen grundsätzlich sowohl das Mehrheits- als auch das Verhältniswahlverfahren ( BGE 129 I 185 E. 3.1; ZBl 95/1994 S. 479 E. 2). Die Bundesverfassung verlangt nicht, dass die Kantone ihr Parlament nach einem reinen Verhältniswahlrecht wählen. Schranke für die Ausgestaltung des Wahlverfahrens bilden allerdings die Wahl- und Abstimmungsfreiheit von Art. 34 BV und das die politische Gleichberechtigung garantierende Rechtsgleichheitsgebot von Art. 8 Abs. 1 BV . Da jede Abweichung vom Proporz zwangsläufig zu einer Ungleichbehandlung von Wählerstimmen führt, lassen diese Garantien die Aufnahme proporzfremder Elemente ins Wahlverfahren nur zu, wenn dafür ausreichende sachliche Gründe bestehen (ZBl 95/1994 S. 479 E. 2b). Eine auf der überkommenen Gebietsorganisation beruhende Einteilung in verschieden grosse Wahlkreise hält vor der Wahlrechtsgleichheit nur stand, wenn die kleinen Wahlkreise, sei es aus historischen, föderalistischen, kulturellen, sprachlichen, ethnischen oder religiösen Gründen, Einheiten mit einem gewissen Zusammengehörigkeitsgefühl bilden. Je stärker ein Wahlkreis eine eigene Identität hat, einen "Sonderfall" darstellt, um so eher rechtfertigt es sich, ihm - auf Kosten des Proporzes - einen Vertretungsanspruch im Parlament einzuräumen (Zusammenfassung der Rechtsprechung in BGE 129 I 185 E. 3.1).</w:t>
      </w:r>
    </w:p>
    <w:p>
      <w:r>
        <w:rPr>
          <w:b/>
        </w:rPr>
        <w:t>E. 3.3</w:t>
      </w:r>
    </w:p>
    <w:p>
      <w:r>
        <w:t>Ein Verhältniswahlrecht, wie es § 77 Abs. 1 KV für die Wahl des Grossen Rates vorschreibt, setzt voraus, dass der Kanton für das Wahlverfahren entweder in möglichst grosse und gleiche Wahlkreise, denen viele Sitze zustehen, oder gar nicht unterteilt wird (Einheitswahlkreis). Je mehr Mandate einem Wahlkreis zustehen, desto tiefer ist das natürliche Quorum, d.h. der Stimmenanteil, den eine Liste benötigt, um bei der ersten Sitzverteilung einen Sitz zu erhalten (100 geteilt durch die um 1 vergrösserte Mandatszahl; vgl. die Erläuterungen in BGE 129 I 185 E. 7.1.2). Je tiefer das natürliche Quorum liegt, desto besser wird der Zweck des Verhältniswahlrechts verwirklicht, alle massgeblichen politischen Kräfte nach Massgabe ihrer Parteistärke im Parlament Einsitz nehmen zu lassen. Aus der Berechnungsweise des natürlichen Quorums ergibt sich ohne weiteres, dass dieses sich erhöht, wenn die Zahl der Mandate in einem Wahlkreis gesenkt wird, ohne dass sich dessen Einwohnerzahl ändert. Unterschiedliche Wahlkreise bewirken, dass nicht jeder Wählerstimme das gleiche politische Gewicht zukommt. Erhält in einem Wahlkreis mit 9 Sitzen eine Parteiliste 10 % der Stimmen, fällt ihr ein Mandat zu; in einem Wahlkreis, dem bloss 2 Mandate zustehen, benötigt eine Liste einen Stimmenanteil von 33,3%, um einen Sitz zu erringen. Je kleiner ein Wahlkreis ist, desto grösser ist das natürliche Quorum und damit die Zahl der Wähler, die im Parlament nicht vertreten werden, deren Stimmen "gewichtlos" sind. Sind kleine Wahlkreise mit wenigen Sitzen zahlreich, nähert sich das Verhältnis- oder Proporzwahlsystem dem Mehrheits- oder Majorzwahlsystem an.</w:t>
      </w:r>
    </w:p>
    <w:p>
      <w:r>
        <w:rPr>
          <w:b/>
        </w:rPr>
        <w:t>E. 4</w:t>
      </w:r>
    </w:p>
    <w:p>
      <w:r>
        <w:t>Mit der Verfassungsrevision von 2003 wurde der Grosse Rat von 200 auf 140 Mitglieder verkleinert (§ 76 Abs. 2 KV). Die Bezirke wurden als Wahlkreise beibehalten (§ 77 Abs. 2 Satz 1 KV), wobei neu die Möglichkeit geschaffen wurde, sie durch Gesetz zu Wahlkreisverbänden zusammenzuschliessen (§ 77 Abs. 2 Satz 2 KV).</w:t>
      </w:r>
    </w:p>
    <w:p>
      <w:r>
        <w:rPr>
          <w:b/>
        </w:rPr>
        <w:t>E. 4.1</w:t>
      </w:r>
    </w:p>
    <w:p>
      <w:r>
        <w:t>Nach der Rechtsprechung des Bundesgerichts sind Verfassungsbestimmungen grundsätzlich nach denselben Regeln auszulegen wie Normen des einfachen Gesetzesrechts ( BGE 124 II 193 E. 5a S. 199; Pra 88/1999 Nr. 88 S. 486). Danach muss die Norm in erster Linie aus sich selbst heraus, das heisst nach Wortlaut, Sinn und Zweck und den ihr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 bzw. Verfassungsgebers aufgegeben ist (eingehend zur Auslegungsmethodik: BGE 128 I 34 E. 3a).</w:t>
      </w:r>
    </w:p>
    <w:p>
      <w:r>
        <w:rPr>
          <w:b/>
        </w:rPr>
        <w:t>E. 4.2</w:t>
      </w:r>
    </w:p>
    <w:p>
      <w:r>
        <w:t>§ 77 Abs. 1 KV legt als Wahlsystem für den Grossen Rat das Verhältniswahlrecht fest. § 77 Abs. 2 Satz 1 KV bestimmt, dass die unterschiedlich grossen Bezirke die Wahlkreise bilden, wobei der Gesetzgeber die Wahlkreise zu Wahlkreisverbänden zusammenschliessen kann (Satz 2). Eine Kann-Vorschrift stellt nach der Rechtsprechung die Entscheidung ins pflichtgemässe Ermessen der zuständigen Instanz ( BGE 123 II 106 E. 2b; 115 Ib 517 E. 7h S. 541). Unter der Prämisse von Abs. 1 - Durchführung einer Proporzwahl - kann Abs. 2 nur so verstanden werden, dass diese in diesem Sinne gehalten ist, Wahlkreise zu Wahlkreisverbänden zusammenzuschliessen, wenn und soweit dies zur Vermeidung proporzwidriger Quoren notwendig ist. Dies entspricht auch, was gerade bei der Auslegung von jungem - hier einjährigem - Recht von besonderer Bedeutung ist ( BGE 112 Ia 97 E. 6c S. 104), dem Sinn und Zweck, den der historische Verfassungsgeber der Regelung beimass: Wie sich aus der Begründung der 2003 vom Volk angenommenen Volksinitiative zur Revision der §§ 76 und 77 KV ergibt, sollten durch die Schaffung von Wahlkreisverbänden die bisherigen Proporzverhältnisse erhalten werden können (Botschaft des Regierungsrates vom 24. September 2003 S. 3 unten und S. 7 oben). Die §§ 76 und 77 KV wurden vom Bund zudem ausdrücklich in diesem Sinne genehmigt (Botschaft des Bundesrates in BBl 2003 S. 8087 ff., insbesondere 8095; Genehmigungsbeschluss in BBl 2004 S. 1393).</w:t>
      </w:r>
    </w:p>
    <w:p>
      <w:r>
        <w:rPr>
          <w:b/>
        </w:rPr>
        <w:t>E. 4.3</w:t>
      </w:r>
    </w:p>
    <w:p>
      <w:r>
        <w:t>Mit dem Erlass von § 77 Abs. 2 KV brachte der Verfassungsgeber somit zum Ausdruck, dass den aargauischen Bezirken keine Eigenständigkeit zukommen soll, die es ausschliessen würde, sie zur Durchführung einer Proporzwahl zu Verbänden zusammenzuschliessen. Er bekannte sich zu einem möglichst gut verwirklichten Verhältniswahlverfahren. Dieser Auffassung war auch der Regierungsrat, weshalb er bei der Umsetzung der Verfassungsrevision auf Gesetzesstufe die Schaffung von Wahlkreisverbänden vorschlug, und der Grosse Rat folgte ihm darin in der 1. Lesung auch. Die von Regierungs- und Grossem Rat unter Verweis auf das Gutachten Auer (Ziff. 61) vorgebrachte These, der aargauische Bezirk sei trotz allem ein soziologisch-politisches Gebilde mit "realer politischer Existenz", eine Einheit mit einem gewissen Zusammengehörigkeitsgefühl, was rechtfertige, ihm zu Lasten des Proporzes einen Vertretungsanspruch im Parlament einzuräumen, ist daher überholt und geht an der Sache vorbei. Der Verfassungsgeber hat, wie dargelegt, diese Frage mit der Schaffung der Möglichkeit, Bezirke zu Wahlkreisverbänden zusammenzuschliessen (§ 77 Abs. 2 KV), im gegenteiligen Sinn verbindlich entschieden.</w:t>
      </w:r>
    </w:p>
    <w:p>
      <w:r>
        <w:rPr>
          <w:b/>
        </w:rPr>
        <w:t>E. 5</w:t>
      </w:r>
    </w:p>
    <w:p>
      <w:r>
        <w:t>Die Beschwerdeführer rügen, das angefochtene Grossratswahlgesetz verletze ihr Stimmrecht, weil es auf den in § 77 Abs. 2 KV vorgesehenen Zusammenschluss der kleinen Wahlkreise zu Wahlkreisverbänden verzichte.</w:t>
      </w:r>
    </w:p>
    <w:p>
      <w:r>
        <w:rPr>
          <w:b/>
        </w:rPr>
        <w:t>E. 5.1</w:t>
      </w:r>
    </w:p>
    <w:p>
      <w:r>
        <w:t>Nach bisher geltendem Recht bestand der Grosse Rat des Kantons Aargau aus 200 Mitgliedern, wovon der grösste Bezirk (Baden) 43, die beiden kleinsten (Muri und Laufenburg) je 10 Vertreter stellten. Das bedeutete, dass im Bezirk Baden eine Liste mit über 2.27 % Wählerstimmen einen Parlamentarier stellen konnte, währenddem in Muri oder Laufenburg eine Liste dafür 9.09 % der Stimmen erreichen musste. Für die unter der Herrschaft der neuen §§ 76 und 77 KV im Frühjahr 2005 durchzuführende Grossratswahl kommen nach der Mitteilung des kantonalen Wahlbüros auf der offiziellen Webseite des Kantons Aargau (www.ag.ch) den 11 Bezirken bzw. Wahlkreisen für die kommende Grossratswahl zwischen 30 (Baden) und 6 (Laufenburg) Mandate zu. Baden ist dabei mit Abstand der grösste Bezirk, es folgen mit grossem Abstand Aarau und Bremgarten (je 16 Sitze) sowie Zofingen mit 15 Sitzen. Weitere kleine Bezirke mit natürlichen Quoren von 10 % und mehr sind Muri (7 Sitze), Zurzach (8 Sitze) sowie Kulm (9 Sitze). Die natürlichen Quoren liegen zwischen 3.23 % (Baden) und 14.29 % (Laufenburg) und damit erheblich weiter auseinander als unter dem bisherigen Recht.</w:t>
      </w:r>
    </w:p>
    <w:p>
      <w:r>
        <w:rPr>
          <w:b/>
        </w:rPr>
        <w:t>E. 5.2</w:t>
      </w:r>
    </w:p>
    <w:p>
      <w:r>
        <w:t>Hohe natürliche Quoren laufen, grundsätzlich gleich wie hohe direkte Quoren in Form von Sperrklauseln, Sinn und Zweck des Verhältniswahlrechts, nämlich die Beteiligung aller massgeblichen politischen Kräfte an der Verteilung der Parlamentssitze, zuwider. Sie bedürfen daher einer besonderen Rechtfertigung, beispielsweise als Schutz einer regionalen sprachlichen Minderheit. Gewichtet der kantonale Verfassungs- oder Gesetzgeber regionale, sprachliche, religiöse oder andere gleichgewichtige Gründe in sachlicher Weise stärker als die Verwirklichung einer möglichst perfekten Wahlrechtsgleichheit, kann dies mit dem in der Bundesverfassung garantierten gleichen Stimm- und Wahlrecht vereinbar sein. Solches ist im Kanton Aargau indessen gerade nicht der Fall: § 77 Abs. 2 KV räumt dem Gesetzgeber explizit die Möglichkeit ein, dem Proporzgedanken durch die Schaffung von Wahlkreisverbänden zum Durchbruch zu verhelfen. Damit steht es nicht im Belieben des Gesetzgebers, solche einzuführen, sondern er hat dies gemäss dem unbestrittenen Sinn und Zweck der Verfassungsbestimmung nach pflichtgemässem Ermessen zu tun, soweit dies zur Wahrung der politischen Gleichberechtigung im Kanton erforderlich ist (vorn E. 4.2).</w:t>
      </w:r>
    </w:p>
    <w:p>
      <w:r>
        <w:rPr>
          <w:b/>
        </w:rPr>
        <w:t>E. 5.3</w:t>
      </w:r>
    </w:p>
    <w:p>
      <w:r>
        <w:t>Das Bundesgericht erachtete in seiner Rechtsprechung ein direktes (gesetzliches) Quorum von 12.4 % als mit der verfassungsrechtlich garantierten Wahlrechtsgleichheit nicht mehr vereinbar, wohl aber ein solches von 6.6 % (JdT 1962 I S. 271 ff.) und auch noch von 10 % ( BGE 103 Ia 603 ). Im in ZBl 95/1994 S. 479 ff. veröffentlichten Entscheid wurde ein natürliches Quorum von 20 % als verfassungswidrig erklärt und ein solches von 9.1 % als noch verfassungsmässig. Natürliche Quoren von 20 % und 16.66 % wurden auch in BGE 129 I 185 als verfassungswidrig betrachtet. Dies gilt immer dort, wo wie im Kanton Aargau die möglichen gewichtigen Gründe für einen Eingriff in die Wahlrechtsgleichheit fehlen.</w:t>
      </w:r>
    </w:p>
    <w:p>
      <w:r>
        <w:rPr>
          <w:b/>
        </w:rPr>
        <w:t>E. 5.4</w:t>
      </w:r>
    </w:p>
    <w:p>
      <w:r>
        <w:t>Direkte Quoren, die eine zu grosse Zersplitterung der im Parlament einsitzenden politischen Kräfte verhindern sollen, und natürliche Quoren, die sich aus der Einteilung der Wahlkreise ergeben und deren Vertretung im Parlament sicherstellen, dienen zwar unterschiedlichen Zwecken, haben indessen die gleichen Wirkungen, indem sie, je nach ihrer Höhe, mehr oder weniger Wähler von einer Vertretung im Parlament ausschliessen. Um der Rechtssicherheit Willen ist, gestützt auf die angeführte Rechtsprechung, festzulegen, dass die Überschreitung einer Limite von 10 % in beiden Fällen mit einem Verhältniswahlrecht grundsätzlich nicht zu vereinbaren ist. Für natürliche Quoren, die Folge der bestehenden Gebietseinteilung sind und vielfach aus beachtlichen (historischen) Gründen (vgl. vorn E. 3.2) erheblich davon abweichen, ist dieser Wert nicht als eine absolute Grenze, sondern als ein Zielwert zu verstehen, der jedenfalls bei einer Neuordnung des Wahlsystems möglichst angestrebt werden muss, auch wenn er, soweit nach wie vor ein ausgewiesenes Bedürfnis an der Beibehaltung proporzfremder Elemente besteht, nicht vollumfänglich erreicht wird. Für Sperrklauseln dagegen, die schon bei einer Grösse von weit unter 10 % die gewünschte Wirkung entfalten und deren Festsetzung immer ein willkürliches Element in sich trägt, ist diese Limite die absolute Obergrenze, sind doch kaum sachliche Gründe denkbar, die eine Annäherung an diesen Wert, geschweige denn seine Überschreitung, rechtfertigen könnten.</w:t>
      </w:r>
    </w:p>
    <w:p>
      <w:r>
        <w:rPr>
          <w:b/>
        </w:rPr>
        <w:t>E. 5.5</w:t>
      </w:r>
    </w:p>
    <w:p>
      <w:r>
        <w:t>Unter dem Gesichtspunkt der Wahlrechtsgleichheit sind bereits die grossen Unterschiede zwischen den verschiedenen aargauischen Wahlkreisen problematisch: Währenddem im Bezirk Baden eine Liste mit 3.23 % Stimmenanteil einen Parlamentssitz erhält, braucht es dafür in den Bezirken Aarau, Bremgarten, Zofingen, Lenzburg, Brugg und Rheinfelden zwischen rund 6 und 9 % sowie in Kulm 10 %. In den Bezirken Zurzach, Muri und Laufenburg sind die Wähler einer Liste von der Sitzverteilung ausgeschlossen, wenn diese nicht 11.11 %, 12.5 % bzw. 14.29 % erreicht. Es ist bei einer Proporzwahl mit dem verfassungsmässig garantierten gleichen Wahlrecht nach dem Gesagten grundsätzlich nicht vereinbar, den Wählern in den Bezirken Zurzach, Muri und Laufenburg, auch wenn ihre Wahllisten mehr als 10 % der Stimmen erreichen, keine Vertretung im Parlament einzuräumen. Der Erlass der Ausführungsgesetzgebung und namentlich des Grossratswahlgesetzes ohne Schaffung von Wahlkreisverbänden oder gegebenenfalls einer anderen Regelung, die die Verhinderung von natürlichen Quoren von mehr als 10 % in einem Wahlkreis anstreben, ist mit Art. 34 Abs. 2 in Verbindung mit Art. 8 Abs. 1 BV nicht vereinbar. Dies ist festzustellen, während die beantragte Aufhebung des am 26. September 2004 abgeänderten Gesetzes über die Wahl des Grossen Rates ausser Betracht fällt, da die Wahlkreiseinteilung nicht Gegenstand dieses Erlasses bildet; der Regierungsrat hielt in den Erläuterungen zu dieser Abstimmungsvorlage (S. 6 oben) denn auch fest, sie betreffe nicht die Verkleinerung des Parlaments, sondern andere Bestimmungen des Wahlsystems.</w:t>
      </w:r>
    </w:p>
    <w:p>
      <w:r>
        <w:rPr>
          <w:b/>
        </w:rPr>
        <w:t>E. 6.1</w:t>
      </w:r>
    </w:p>
    <w:p>
      <w:r>
        <w:t>Die revidierten §§ 76 und 77 KV wurden vom Volk angenommen und sind in Kraft, was ausschliesst, die anstehende Parlamentswahl nach alter Ordnung durchzuführen. Anderseits ist es dem Kanton Aargau offensichtlich zeitlich nicht möglich, eine den vorangehenden bundesgerichtlichen Erwägungen entsprechende Gesetzgebung zu erlassen und die bereits in vier Monaten anstehende nächste Erneuerungswahl für die Legislaturperiode 2005 - 2008 danach durchzuführen. Da sich die verfassungsmässige Lage mit einer Gutheissung der Beschwerde aus diesen Gründen nicht herstellen lässt, rechtfertigt es sich, die nächste Grossratswahl noch nach der gegenwärtig geltenden, hier angefochtenen Regelung durchführen zu lassen und dem Kanton Aargau die notwendige Zeit einzuräumen, eine verfassungskonforme Ausführungsgesetzgebung zu erlassen. Es ist daher ein Appellentscheid zu fällen (dazu Walter Kälin, Das Verfahren der staatsrechtlichen Beschwerde, 2. Aufl. Bern 1994, S. 403 und die dort zusammengefasste bundesgerichtliche Rechtsprechung). Die Beschwerde 1P.406/2004 ist demnach im Sinne der Erwägungen abzuweisen, womit die zuständigen Behörden des Kantons Aargau aufgefordert sind, im Hinblick auf die übernächsten Parlamentswahlen unter Befolgung der bundesgerichtlichen Erwägungen eine verfassungsmässige Wahlordnung zu schaffen.</w:t>
      </w:r>
    </w:p>
    <w:p>
      <w:r>
        <w:rPr>
          <w:b/>
        </w:rPr>
        <w:t>E. 6.2</w:t>
      </w:r>
    </w:p>
    <w:p>
      <w:r>
        <w:t>Bei diesem Ausgang des Verfahrens sind für beide Beschwerden keine Kosten zu erheben. Hingegen hat der Kanton Aargau den privaten Beschwerdeführern im Verfahren der Beschwerde 1P.406/2004, in welchem sie obsiegen,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