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1P.400/2005 vom 19. Oktober 2005</w:t>
      </w:r>
    </w:p>
    <w:p>
      <w:r>
        <w:t>Bundesgericht, 2005-10-19, DE</w:t>
      </w:r>
    </w:p>
    <w:p>
      <w:r>
        <w:rPr>
          <w:b/>
        </w:rPr>
        <w:t xml:space="preserve">Quelle: </w:t>
      </w:r>
      <w:r>
        <w:t>https://mcp.opencaselaw.ch/entscheid/bger_1P.400_2005</w:t>
      </w:r>
    </w:p>
    <w:p>
      <w:r>
        <w:t>FR: TF 1P.400/2005 du 19 octobre 2005</w:t>
      </w:r>
    </w:p>
    <w:p>
      <w:r>
        <w:t>IT: TF 1P.400/2005 del 19 ottobre 2005</w:t>
      </w:r>
    </w:p>
    <w:p>
      <w:pPr>
        <w:pStyle w:val="Heading2"/>
      </w:pPr>
      <w:r>
        <w:t>Regeste</w:t>
      </w:r>
    </w:p>
    <w:p>
      <w:r>
        <w:t>Art. 9 BV (Strafverfahren) | Verfahren</w:t>
      </w:r>
    </w:p>
    <w:p>
      <w:pPr>
        <w:pStyle w:val="Heading2"/>
      </w:pPr>
      <w:r>
        <w:t>Erwägungen</w:t>
      </w:r>
    </w:p>
    <w:p>
      <w:r>
        <w:rPr>
          <w:b/>
        </w:rPr>
        <w:t>E. 1</w:t>
      </w:r>
    </w:p>
    <w:p>
      <w:r>
        <w:t>Beim angefochtenen Entscheid des Kantonsgerichts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grundsätzlich einzutreten ist.</w:t>
      </w:r>
    </w:p>
    <w:p>
      <w:r>
        <w:rPr>
          <w:b/>
        </w:rPr>
        <w:t>E. 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E.2a S. 88, je mit Hinweisen).</w:t>
      </w:r>
    </w:p>
    <w:p>
      <w:r>
        <w:rPr>
          <w:b/>
        </w:rPr>
        <w:t>E. 3.1</w:t>
      </w:r>
    </w:p>
    <w:p>
      <w:r>
        <w:t>Der Beschwerdeführer macht geltend, das Kantonsgericht habe bei der Strafzumessung eine Vorstrafe in willkürlicher Weise zu seinen Lasten gewürdigt, indem es dabei nicht vom Sachverhalt ausgegangen sei, für den ihn das Strafgericht am 8. Juni 1998 verurteilt habe, sondern von den Anklagevorwürfen, mit denen die Staatsanwaltschaft nur teilweise durchgedrungen sei. Dies treffe insbesondere für den Vorwurf zu, er habe damals einen Türsteher erschiessen wollen, indem er ihm eine Faustfeuerwaffe an die Schläfe gehalten und abgedrückt habe, wobei der Schuss nur deshalb nicht losgegangen sei, weil sich eine Hülse verklemmt hätte. Das Strafgericht habe diesen Tatvorwurf nur insoweit als begründet angesehen, als er dem Türsteher die Pistole an die Schläfe gehalten habe, und ihn dementsprechend in diesem Punkt nur wegen Drohung, nicht wegen versuchter vorsätzlicher Tötung, verurteilt. Unbestritten ist, dass der Beschwerdeführer nach der Bedrohung des Türstehers einen Schuss auf diesen und vier Schüsse auf einen zweiten Sicherheitsbeamten abgab und dafür vom Strafgericht wegen versuchter vorsätzlicher Tötung und Gefährdung des Lebens verurteilt wurde.</w:t>
      </w:r>
    </w:p>
    <w:p>
      <w:r>
        <w:rPr>
          <w:b/>
        </w:rPr>
        <w:t>E. 3.2</w:t>
      </w:r>
    </w:p>
    <w:p>
      <w:r>
        <w:t>Das Kantonsgericht hat im angefochtenen Urteil bei seinen Ausführungen zur Strafzumessung (E. 12.1 S. 72 f.) tatsächlich - wohl versehentlich - den Anklagesachverhalt wiedergegeben, der sich vor Strafgericht nur teilweise erhärtete. Aus der Würdigung des Vorfalls (E. 12.3 S. 75), die der Beschwerdeführer in seiner Beschwerde sogar selber zitiert, ergibt sich indessen, dass das Kantonsgericht bei der Vorstrafe durchaus vom richtigen Sachverhalt ausgegangen ist, indem es dem Beschwerdeführer vorhält, dass er nunmehr bereits zum zweiten Mal versucht habe, einen Menschen zu töten. Hätte es das Urteil des Strafgerichts vom 8. Juni 1998 falsch verstanden, wie der Beschwerdeführer behauptet, so wäre dies bereits der dritte Versuch gewesen: im Verfahren, das zu diesem Urteil des Strafgerichts führte, warf ihm die Staatsanwaltschaft nämlich zwei Tötungsversuche vor, drang aber nur mit einem Vorwurf durch. Das Kantonsgericht ist damit im angefochtenen Urteil, ungeachtet seines Versehens auf S. 72, klarerweise zu Recht davon ausgegangen, dass der Beschwerdeführer vor dem hier zur Diskussion stehenden Vorfall bereits einmal - und nicht etwa zweimal - versucht hatte, einen Menschen umzubringen. Die Willkürrüge ist unbegründet.</w:t>
      </w:r>
    </w:p>
    <w:p>
      <w:r>
        <w:rPr>
          <w:b/>
        </w:rPr>
        <w:t>E. 4</w:t>
      </w:r>
    </w:p>
    <w:p>
      <w:r>
        <w:t>Die Beschwerde ist somit abzuweisen. Bei diesem Ausgang des Verfahrens wird der Beschwerdeführer kostenpflichtig ( Art. 156 OG ). Er hat indessen ein Gesuch um unentgeltliche Rechtspflege und Verbeiständung gestellt, welches jedoch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