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1P.390/2005 vom 11. Oktober 2005</w:t>
      </w:r>
    </w:p>
    <w:p>
      <w:r>
        <w:t>Bundesgericht, 2005-10-11, FR</w:t>
      </w:r>
    </w:p>
    <w:p>
      <w:r>
        <w:rPr>
          <w:b/>
        </w:rPr>
        <w:t xml:space="preserve">Quelle: </w:t>
      </w:r>
      <w:r>
        <w:t>https://mcp.opencaselaw.ch/entscheid/bger_1P.390_2005</w:t>
      </w:r>
    </w:p>
    <w:p>
      <w:r>
        <w:t>FR: TF 1P.390/2005 du 11 octobre 2005</w:t>
      </w:r>
    </w:p>
    <w:p>
      <w:r>
        <w:t>IT: TF 1P.390/2005 del 11 ottobre 2005</w:t>
      </w:r>
    </w:p>
    <w:p>
      <w:pPr>
        <w:pStyle w:val="Heading2"/>
      </w:pPr>
      <w:r>
        <w:t>Regeste</w:t>
      </w:r>
    </w:p>
    <w:p>
      <w:r>
        <w:t>droits politiques, élection du Conseil d'Etat | Droits politiques</w:t>
      </w:r>
    </w:p>
    <w:p>
      <w:pPr>
        <w:pStyle w:val="Heading2"/>
      </w:pPr>
      <w:r>
        <w:t>Erwägungen</w:t>
      </w:r>
    </w:p>
    <w:p>
      <w:r>
        <w:rPr>
          <w:b/>
        </w:rPr>
        <w:t>E. 1</w:t>
      </w:r>
    </w:p>
    <w:p>
      <w:r>
        <w:t>La voie du recours de droit public selon l' art. 85 let. a OJ est ouverte contre une décision rendue en dernière instance cantonale dans une contestation relative à l'élection des membres du Conseil d'Etat, qui est une élection populaire en vertu de la Constitution cantonale ( art. 38 et 66 al. 2 Cst./NE [RS 131.233]). Les électeurs auteurs du présent recours ont qualité pour recourir au sens de l' art. 88 OJ ( ATF 130 I 290 consid. 1.2 p. 292 et les arrêts cités). Il y a lieu d'entrer en matière.</w:t>
      </w:r>
    </w:p>
    <w:p>
      <w:r>
        <w:rPr>
          <w:b/>
        </w:rPr>
        <w:t>E. 2</w:t>
      </w:r>
    </w:p>
    <w:p>
      <w:r>
        <w:t>Le recours prévu à l' art. 85 let. a OJ permet à l'électeur de se plaindre d'une violation des dispositions constitutionnelles et légales, fédérales ou cantonales, qui définissent le contenu et l'étendue des droits politiques des citoyens ( ATF 130 I 226 consid. 1.2 p. 228 et les arrêts cités). Dans le cas particulier, les recourants soutiennent en substance qu'il a été fait un usage abusif, ou totalement artificiel, du système de l'élection tacite. Ils relèvent que la brochure de la Chancellerie d'Etat adressée à tous les électeurs avant le scrutin ne mentionnait pas la possibilité d'une élection tacite, et que l'information erronée des médias quant à la tenue quasi certaine d'un second tour a eu une incidence sur l'issue du premier tour: s'ils avaient su que l'élection avait lieu selon un tel "système proportionnel à un tour", une grande partie des électeurs aurait voté différemment au premier tour (vote "utile"). La volonté populaire aurait donc été faussée. Le résultat serait aussi contraire à la lettre de l' art. 66 al. 2 Cst./NE , qui prévoit que le Conseil d'Etat est à élu par le peuple selon le système du scrutin majoritaire à deux tours; or les "tractations occultes" entre les partis auraient conduit ces organisations à "conserver la répartition proportionnelle au sein de l'exécutif au détriment du décompte des voix". En définitive, les recourants critiquent l'élection tacite "orchestrée par les partis politiques".</w:t>
      </w:r>
    </w:p>
    <w:p>
      <w:r>
        <w:rPr>
          <w:b/>
        </w:rPr>
        <w:t>E. 2.1</w:t>
      </w:r>
    </w:p>
    <w:p>
      <w:r>
        <w:t>A lire les griefs des recourants, on comprend qu'ils déplorent que le gouvernement soit désormais composé de magistrats dont aucun n'est citoyen d'une commune de la région du Haut du canton, quand bien même, au premier tour, un candidat de cette région avait obtenu un résultat qui le plaçait dans les cinq premiers, en nombre de suffrages. Le Tribunal administratif n'a pas examiné le résultat de l'élection de ce point de vue. La Constitution cantonale neuchâteloise ne garantit en effet pas la représentation de l'une ou l'autre région au sein du Conseil d'Etat (à l'instar de ce que prévoit, par exemple, l'art. 84 al. 2 de la Constitution du canton de Berne [RS 131.212], pour le Jura bernois). Les recourants ne se prévalent du reste pas d'une norme qui aurait cette portée. On ne saurait donc constater, du point de vue juridique, une violation des principes de la démocratie ou des droits politiques. Les recourants relèvent par ailleurs que la composition du Conseil d'Etat ne correspond pas à "l'ordre d'arrivée" des candidats au premier tour de l'élection: un membre du gouvernement a obtenu, au premier tour, un nombre de voix inférieur à un autre candidat, qui n'a pourtant pas été élu parce qu'il n'a pas été présenté au second tour. Cet élément pourrait être déterminant en présence d'un grief d'inobservation des règles fixant les modalités d'une candidature au second tour. Or les recourants ne prétendent pas que la liste des candidats au second tour aurait été établie en violation du droit cantonal; ils se bornent en effet, dans ce contexte, à quelques considérations politiques sur le choix par un parti de ses candidats au second tour. Le Tribunal fédéral n'a pas à se prononcer à ce sujet; le Tribunal administratif n'a du reste pas non plus, à juste titre, examiné cet aspect.</w:t>
      </w:r>
    </w:p>
    <w:p>
      <w:r>
        <w:rPr>
          <w:b/>
        </w:rPr>
        <w:t>E. 2.2</w:t>
      </w:r>
    </w:p>
    <w:p>
      <w:r>
        <w:t>L'élection tacite est prévue par certaines législations cantonales, pour certaines élections au système majoritaire (cf. Yvo Hangartner/Andreas Kley, Die demokratischen Rechte in Bund und Kantonen der Schweizerischen Eidgenössenschaft, Zurich 2000, n. 1554 p. 622). A l'évidence, on ne saurait considérer que lorsqu'elle intervient, selon les modalités du droit cantonal, elle est incompatible avec le système du scrutin majoritaire - prescrit dans le canton de Neuchâtel par l' art. 66 al. 2 Cst./NE pour l'élection du Conseil d'Etat. La jurisprudence du Tribunal fédéral - citée dans l'arrêt attaqué - retient qu'une élection tacite n'est pas contraire aux garanties en matière de droits politiques ( art. 34 Cst. ) quand, notamment, l'arrêté de convocation des électeurs est suffisamment explicite au sujet de cette possibilité et des modalités d'une telle élection ( ATF 112 Ia 233 consid. 2e p. 239; arrêt 1P.421/1997 du 15 octobre 1997 in ZBl 99/1998 p. 415 consid. 2b). En l'espèce, l'arrêté de convocation, publié à deux reprises dans l'organe officiel du canton, était clair sur ces questions; à son art. 20, il reprenait in extenso la règle de l' art. 85 LDP , fixant les conditions d'une élection tacite. Les recourants ne critiquent pas les publications faites dans la Feuille officielle mais reprochent à la Chancellerie d'Etat de n'avoir pas donné les mêmes explications dans sa brochure adressée à tous les électeurs avec le matériel de vote. Or le Tribunal administratif retient avec raison que l'information donnée par la voie d'une publication dans la Feuille officielle était suffisante au regard de la jurisprudence du Tribunal fédéral. Ce périodique est largement diffusé et, de toute manière, l'énoncé des modalités d'une élection tacite figure déjà dans la loi, que chaque électeur peut consulter en tout temps, aussi avant un arrêté de convocation des électeurs. Au surplus, la loi cantonale prévoit également la publication de l'arrêté de convocation sur le site Internet de l'Etat ( art. 11 al. 1 LDP ), ce qui permet aux intéressés - en tout cas à ceux qui, de plus en plus nombreux, utilisent les médias électroniques - d'en prendre connaissance pendant toute la période précédant le jour du scrutin. S'agissant de la brochure de la Chancellerie - "documentation relative au scrutin" ( art. 9 LDP ) -, elle n'est pas conçue, selon le droit cantonal, comme un exposé complet des modalités légales d'organisation du vote; elle peut se limiter à certains points jugés importants pour le bon déroulement des opérations électorales. Dans ces conditions, il faut considérer que les garanties en matière de droits politiques n'ont pas été violées.</w:t>
      </w:r>
    </w:p>
    <w:p>
      <w:r>
        <w:rPr>
          <w:b/>
        </w:rPr>
        <w:t>E. 2.3</w:t>
      </w:r>
    </w:p>
    <w:p>
      <w:r>
        <w:t>Le Tribunal administratif était également fondé à rejeter les griefs des recourants concernant l'influence, sur les résultats du premier tour de scrutin, de l'information donnée par les médias à propos de la tenue quasi certaine d'un second tour. Selon l' art. 34 al. 2 Cst. , la garantie des droits politiques protège la libre formation de l'opinion des citoyens et des citoyennes et l'expression fidèle et sûre de leur volonté. Les votations et élections doivent être organisées de telle manière que la volonté des électeurs puisse s'exercer librement, notamment sans pression ni influence extérieure ( ATF 131 I 126 consid. 5.1 p. 132 et les arrêts cités). Des pronostics sur les résultats du scrutin, exposés dans des organes de presse sur la base de l'expérience des rédacteurs ou de sondages d'opinion, sont fréquents avant l'élection du parlement et du gouvernement d'un canton. On voit mal comment des pronostics sur les chances de succès de tel ou tel candidat pourraient, une fois diffusés dans la presse, représenter une influence illicite sur le résultat d'une élection, quand les éléments pris en considération sont objectifs. De même, les pronostics au sujet des enseignements tirés par les partis des résultats d'un premier tour de scrutin - ce sont de tels pronostics qui sont en cause ici - relèvent de l'analyse politique qui, à l'évidence, est admissible dans la presse. Aussi n'y a-t-il eu, en l'espèce, aucune influence contraire aux garanties déduites de l' art. 34 al. 2 Cst.</w:t>
      </w:r>
    </w:p>
    <w:p>
      <w:r>
        <w:rPr>
          <w:b/>
        </w:rPr>
        <w:t>E. 3</w:t>
      </w:r>
    </w:p>
    <w:p>
      <w:r>
        <w:t>Il s'ensuit que le recours de droit public, mal fondé, doit être rejeté. Il n'y a pas lieu de percevoir un émolument judiciaire, conformément à la pratique du Tribunal fédéral lorsqu'il statue sur des recours selon l' art. 85 let. 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