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1P.372/2000 vom 1. September 2000</w:t>
      </w:r>
    </w:p>
    <w:p>
      <w:r>
        <w:t>Bundesgericht, 2000-09-01, DE</w:t>
      </w:r>
    </w:p>
    <w:p>
      <w:r>
        <w:rPr>
          <w:b/>
        </w:rPr>
        <w:t xml:space="preserve">Quelle: </w:t>
      </w:r>
      <w:r>
        <w:t>https://mcp.opencaselaw.ch/entscheid/bger_1P.372_2000</w:t>
      </w:r>
    </w:p>
    <w:p>
      <w:r>
        <w:t>FR: TF 1P.372/2000 du 1 septembre 2000</w:t>
      </w:r>
    </w:p>
    <w:p>
      <w:r>
        <w:t>IT: TF 1P.372/2000 del 1 settembre 2000</w:t>
      </w:r>
    </w:p>
    <w:p>
      <w:pPr>
        <w:pStyle w:val="Heading2"/>
      </w:pPr>
      <w:r>
        <w:t>Regeste</w:t>
      </w:r>
    </w:p>
    <w:p>
      <w:r>
        <w:t>Strafprozess</w:t>
      </w:r>
    </w:p>
    <w:p>
      <w:pPr>
        <w:pStyle w:val="Heading2"/>
      </w:pPr>
      <w:r>
        <w:t>Erwägungen</w:t>
      </w:r>
    </w:p>
    <w:p>
      <w:r>
        <w:rPr>
          <w:b/>
        </w:rPr>
        <w:t>E. 1</w:t>
      </w:r>
    </w:p>
    <w:p>
      <w:r>
        <w:t>a) Die Beschwerdeführerin beantragt ohne weitere Präzisierung, den angefochtenen Entscheid aufzuheben. Der Begründung der Beschwerde ist indessen zu entnehmen, dass sie lediglich die Verweigerung der Nichtschuldigerklärung anficht, den Kostenpunkt betreffend das Untersuchungsverfahren (Verfahrenskosten und Entschädigungen bzw. Genugtuung) nicht aufgehoben haben will. Die Beschwerde ist in diesem Sinne entgegen zu nehmen. b) Mit der staatsrechtlichen Beschwerde nach Art. 84 Abs. 1 lit. a OG können Verletzungen des kantonalen Verfassungsrechts gerügt werden. Die vorliegende Beschwerde ist daher zulässig. Nach Art. 90 Abs. 1 lit. b OG ist in der staatsrechtlichen Beschwerde darzulegen, welche verfassungsmässi-gen Rechte verletzt sein sollen und inwiefern dies der Fall sei. Die Begründung muss in der Beschwerdeschrift selber enthalten sein, Verweise auf die den kantonalen Instanzen eingereichten Rechtsschriften genügen nicht ( BGE 115 Ia 27 S. 30, 109 Ia 304 S. 306). - Diesen Anforderungen genügt die Rüge der Verletzung von Art. 9 und Art. 29 Abs. 2 BV (Ziff. 11 S. 5 f. der Beschwerdeschrift) nicht. Insofern kann auf die Beschwerde nicht eingetreten werden. c) Die Beschwerdeführerin hat auf die Zustellung der Vernehmlassung des Obergerichts hin unaufgefordert eine Replik eingereicht. Ein zweiter Schriftenwechsel findet nach Art. 93 Abs. 3 OG nur ausnahmsweise und auf ausdrückliche Anordnung des Bundesgerichts hin statt. Im vorliegenden Fall enthält die Vernehmlassung des Obergerichts gewisse Ausführungen, die eine Replik rechtfertigen mögen. Daher kann die Replik der Beschwerdeführerin zu den Akten genommen werden. d) Im Übrigen geben die Eintretensvoraussetzungen zu keinen weitern Bemerkungen Anlass.</w:t>
      </w:r>
    </w:p>
    <w:p>
      <w:r>
        <w:rPr>
          <w:b/>
        </w:rPr>
        <w:t>E. 2</w:t>
      </w:r>
    </w:p>
    <w:p>
      <w:r>
        <w:t>a) Die Verfassung des Kantons Schaffhausen (KV/SH) enthält in Art. 8 Abs. 4 folgende Bestimmung: Jeder in strafrechtliche Untersuchung Gezogene muss schuldig oder nicht schuldig erklärt werden, sofern er sich nicht mit der von der kompetenten Stelle verfügten einfachen Aufhebung der Untersuchung begnügt. Die Strafprozessordnung des Kantons Schaffhausen (StPO/SH) umschreibt die genannte Verfassungsnorm insbesondere mit Art. 61. Diese Bestimmung mit dem Marginale "Erledigungsgrundsatz" hat folgenden Wortlaut: 1Jede Strafverfolgung ist entweder durch einen auf Verurteilung oder Freispruch lautenden Sachentscheid oder durch abschliessende Einstellung des Verfahrens zu beenden. 2Wer als Angeschuldigter richterlich zur Sache einvernommen worden ist, kann im Falle einer abschliessenden Einstellung des Verfahrens unter Berufung auf Art. 8 Abs. 4 KV verlangen, schuldig oder nicht schuldig erklärt zu werden, sofern die prozessualen Voraussetzungen für eine Beurteilung der Sache gegeben sind. b) Das Obergericht führte im angefochtenen Entscheid zum einen aus, der verfassungsmässige Ausdruck "in strafrechtliche Untersuchung gezogen" bedürfe der Auslegung. Der Gesetzgeber habe mit dem Erlass der Strafprozessordnung die Verfassungsbestimmung konkretisiert und den Beginn der Untersuchung auf den Umstand einer richterlichen Einvernahme festgesetzt; damit falle das vorangehende Verfahren - auch wenn die Untersuchung mit einem Aktenvermerk förmlich eröffnet wird sowie polizeiliche Einvernahmen durchgeführt und gewisse Zwangsmassnahmen ergriffen werden - ausserhalb des Bereiches, der nach Art. 8 Abs. 4 KV/SH einen Anspruch auf Nichtschuldigerklärung einräumt. Zum andern hielt das Obergericht fest, eine Nichtschuldigerklärung im Sinne von Art. 8 Abs. 4 KV/SH falle nach Art. 61 Abs. 2 letzter Satzteil StPO/SH nur in Betracht, sofern die prozessualen Voraussetzungen für eine Beurteilung der Sache noch gegeben seien. Im vorliegenden Fall sei die Verfolgungsverjährung eingetreten. Damit fehlten die Voraussetzungen für einen materiellen Sachentscheid. Das Prozesshindernis stehe demnach auch einer förmlichen Nichtschuldigerklärung entgegen. c) Die Beschwerdeführerin macht nicht geltend, das Obergericht habe die Bestimmungen der Strafprozessordnung willkürlich ausgelegt. Sie behauptet insbesondere nicht, dass sie im Sinne von Art. 61 Abs. 2 erster Satzteil StPO/SH richterlich einvernommen worden sei und dass gemäss Art. 61 Abs. 2 letzter Satzteil StPO/SH wegen eingetretener Verjährung die Voraussetzungen für eine Beurteilung der Sache noch gegeben seien. Vielmehr rügt sie, dass die Strafprozessordnung mit ihren Voraussetzungen für den Erhalt einer Nichtschuldigerklärung die Verfassungsnorm unzulässig einschränke und daher in dieser Hinsicht mit der Kantonsverfassung im Widerspruch stehe. Mit dieser Rüge verlangt die Beschwerdeführerin eine inzidente (vorfrageweise) Normkontrolle von Art. 61 Abs. 2 StPO hinsichtlich Art. 8 Abs. 4 KV/SH . Dies ist im staatsrechtlichen Beschwerdeverfahren zulässig. Eine allfällige vorfrageweise Feststellung der Verfassungswidrigkeit von Bestimmungen der Strafprozessordnung führt indessen nicht zu deren Aufhebung, sondern hat lediglich zur Folge, dass die Vorschrift auf die Beschwerdeführerin nicht angewendet wird und der gestützt darauf ergangene Entscheid aufgehoben wird (vgl. zum Prüfungsprogramm BGE 120 V 319 E. 8d/aa S. 331, 114 Ia 50 E. 2a S. 52). Es ist daher zu prüfen, ob die Beschwerdeführerin mit Blick auf ihre eigene Angelegenheit in ihrem verfassungsmässigen Anspruch auf Nichtschuldigerklärung verletzt worden ist.</w:t>
      </w:r>
    </w:p>
    <w:p>
      <w:r>
        <w:rPr>
          <w:b/>
        </w:rPr>
        <w:t>E. 3</w:t>
      </w:r>
    </w:p>
    <w:p>
      <w:r>
        <w:t>Auflage 1997, Rz. 539). Bei dieser Sachlage kann es als eine Frage der strafprozessualen Logik betrachtet werden, das Verfahren nicht nur hinsichtlich eines Schuldspruchs, sondern auch im Hinblick auf eine materielle Nichtschuldigerklärung nicht fortzuführen (vgl. Aemisegger, a.a.O., S. 95 f.). Im Hinblick auf die kantonale Verfassungsgarantie und die vorliegende Angelegenheit erscheint diese Auffassung allerdings nicht unproblematisch. Gerade in Fällen der Verjährung besteht in besonderem Masse die Gefahr, dass der Ruf des Betroffenen im sozialen Umfeld getrübt bleibt. Tritt die Verjährung erst nach einem langen Prozessverfahren vor erst- und zweitinstanzlichen Gerichten mit entsprechender Publizität ein, mag ein spezielles Bedürfnis nach förmlicher Nichtschuldigerklärung bestehen. Es erscheint daher fraglich, ob es mit Sinn und Zweck der verfassungsrechtlichen Garantie vereinbar ist, den Anspruch auf Nichtschuldigerklärung allein wegen des Eintritts der Verjährung auszuschliessen, ob insoweit Art. 91 Abs. 2 letzter Satzteil StPO/SH mit Art. 8 Abs. 4 KV/SH vereinbar ist und ob der Beschwerdeführerin eine förmliche Schuldloserklärung tatsächlich aus diesem Grund verweigert werden darf. Daran vermag auch der Umstand nichts zu ändern, dass die Auffassung des Obergerichts aus rein strafprozessualer Sicht sachgerecht erscheinen mag. Wie es sich mit dieser Frage letztlich verhält, kann indessen angesichts der Doppelbegründung des Obergerichts und in Anbetracht der vorstehenden Erwägungen zum Begriff des "in strafrechtliche Untersuchung Gezogenen" und zu Art. 61 Abs. 1 erster Satzteil StPO/SH offen gelassen werden. f) Gesamthaft betrachtet kommt dem Gesetzgeber ein beachtlicher Spielraum bei der Umsetzung und Konkretisierung der Verfassungsbestimmung von Art. 8 Abs. 4 KV/SH zu. Aus der Sorge, der Garantie klare Konturen zu verleihen, erscheint es abstrakt gesehen sachgerecht, mit Art. 61 Abs. 2 erster Satzteil StPO den Anspruch auf Nichtschuldigerklärung erst mit einer richterlichen Befragung beginnen zu lassen. Ebenso darf beachtet werden, dass die Verfassungsbestimmung keine absolute Pflicht der Behörden, sondern ein verzichtbares Recht enthält. In Bezug auf den vorliegenden Fall einen derartigen Anspruch zu verneinen, erweist sich mit Sinn und Zweck von Art. 8 Abs. 4 KV/SH vereinbar, da die Beschwerdeführerin lediglich polizeilich befragt und nur für wenige Stunden festgehalten worden ist. Demnach sind die Beschwerde und die Rüge der Verletzung von Art. 8 Abs. 4 KV/SH unbegründet.</w:t>
      </w:r>
    </w:p>
    <w:p>
      <w:r>
        <w:rPr>
          <w:b/>
        </w:rPr>
        <w:t>E. 4</w:t>
      </w:r>
    </w:p>
    <w:p>
      <w:r>
        <w:t>Aufgrund dieser Erwägungen ist die Beschwerde abzuweisen, soweit darauf einzutreten ist. Die Beschwerdeführerin hat um Gewährung der unentgeltlichen Rechtspflege ersucht. Das Bundesgericht hat deren Bedürftigkeit bereits im Urteil vom 11. November 1998 bejaht; die Beschwerdeführerin hat zudem weitere Unterlagen zu ihrer Bedürftigkeit eingereicht. In sachlicher Hinsicht stellen sich im vorliegenden Verfahren heikle verfassungsrechtliche Fragen, die eine anwaltliche Vertretung erforderlich erscheinen lassen. Dem Gesuch kann daher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