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1P.367/2002 vom 24. Juli 2002</w:t>
      </w:r>
    </w:p>
    <w:p>
      <w:r>
        <w:t>Bundesgericht, 2002-07-24, DE</w:t>
      </w:r>
    </w:p>
    <w:p>
      <w:r>
        <w:rPr>
          <w:b/>
        </w:rPr>
        <w:t xml:space="preserve">Quelle: </w:t>
      </w:r>
      <w:r>
        <w:t>https://mcp.opencaselaw.ch/entscheid/bger_1P.367_2002</w:t>
      </w:r>
    </w:p>
    <w:p>
      <w:r>
        <w:t>FR: TF 1P.367/2002 du 24 juillet 2002</w:t>
      </w:r>
    </w:p>
    <w:p>
      <w:r>
        <w:t>IT: TF 1P.367/2002 del 24 luglio 2002</w:t>
      </w:r>
    </w:p>
    <w:p>
      <w:pPr>
        <w:pStyle w:val="Heading2"/>
      </w:pPr>
      <w:r>
        <w:t>Erwägungen</w:t>
      </w:r>
    </w:p>
    <w:p>
      <w:r>
        <w:rPr>
          <w:b/>
        </w:rPr>
        <w:t>E. 1.1</w:t>
      </w:r>
    </w:p>
    <w:p>
      <w:r>
        <w:t>Der Beschwerdeführer erhebt Stimmrechtsbeschwerde im Sinne von Art. 85 lit. a OG . Als Stimmberechtigter im Bezirk Zürich ist er legitimiert, den angefochtenen, kantonal letztinstanzlichen Entscheid des Regierungsrats wegen Verletzung seines Stimmrechts anzufechten.</w:t>
      </w:r>
    </w:p>
    <w:p>
      <w:r>
        <w:rPr>
          <w:b/>
        </w:rPr>
        <w:t>E. 1.2</w:t>
      </w:r>
    </w:p>
    <w:p>
      <w:r>
        <w:t>Nach der Rechtsprechung ist es zulässig, mit der Stimmrechtsbeschwerde neben dem angefochtenen Entscheid auch die Aufhebung des Wahlganges zu beantragen (ZBl 96/1995 570 E. 1d mit Hinweisen). Soweit der Beschwerdeführer jedoch darüber hinausgehende Anträge stellt, kann darauf aufgrund der kassatorischen Natur der Stimmrechtsbeschwerde nicht eingetreten werden ( BGE 119 Ia 167 E. 1f S. 173).</w:t>
      </w:r>
    </w:p>
    <w:p>
      <w:r>
        <w:rPr>
          <w:b/>
        </w:rPr>
        <w:t>E. 1.3</w:t>
      </w:r>
    </w:p>
    <w:p>
      <w:r>
        <w:t>Das Bundesgericht behandelt auch im Rahmen der Stimmrechtsbeschwerde nur Rügen, die den Begründungsanforderungen von Art. 90 Abs. 1 lit. b OG entsprechen ( BGE 118 Ia 184 E. 2 S. 188 f.). Nach dieser Bestimmung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w:t>
      </w:r>
    </w:p>
    <w:p>
      <w:r>
        <w:rPr>
          <w:b/>
        </w:rPr>
        <w:t>E. 2</w:t>
      </w:r>
    </w:p>
    <w:p>
      <w:r>
        <w:t>Der Beschwerdeführer beanstandet, dass ihm im kantonalen Verfahren keine eigentliche richterliche Instanz zur Verfügung stand.</w:t>
      </w:r>
    </w:p>
    <w:p>
      <w:r>
        <w:rPr>
          <w:b/>
        </w:rPr>
        <w:t>E. 2.1</w:t>
      </w:r>
    </w:p>
    <w:p>
      <w:r>
        <w:t>Soweit sich der Beschwerdeführer unmittelbar auf die UNO-Resolution vom vom 10. Dezember 1948 (Allgemeine Erklärung der Menschenrechte) beruft, ist auf die staatsrechtliche Beschwerde nicht einzutreten. Die besagte Resolution gilt wohl als "Quelle und Leitbild für die nationale und internationale Gesetzgebung" (vgl. Bericht des Bundesrats über die Schweizerische Menschenrechtspolitik vom 2. Juni 1982, BBl 1982 II 735) und beeinflusste als "Basis für einen universellen Mindeststandard" zahlreiche Übereinkommen, namentlich die UNO-Menschenrechtspakte von 1966 (Kälin/Malinverni/Nowak, Die Schweiz und die UNO-Menschenrechtspakte, 2. Auflage 1997, S. 4). Sie ist aber nur insoweit von Bedeutung, als sie im schweizerischen Verfassungsrecht und in den von der Schweiz unterzeichneten völkerrechtlichen Verträgen ihren Niederschlag gefunden hat.</w:t>
      </w:r>
    </w:p>
    <w:p>
      <w:r>
        <w:rPr>
          <w:b/>
        </w:rPr>
        <w:t>E. 2.2</w:t>
      </w:r>
    </w:p>
    <w:p>
      <w:r>
        <w:t>Weiter rügt der Beschwerdeführer das Fehlen einer eigentlichen richterlichen Instanz als Verletzung des rechtlichen Gehörs. Dabei bezieht er sich weder auf das kantonale Verfahrensrecht (bzw. dessen willkürliche Anwendung) noch auf die Europäische Menschenrechtskonvention oder den Internationalen Pakt über bürgerliche und politische Rechte vom 16. Dezember 1966 (UNO-Pakt II, SR 0.103.2). Ausserdem finden Art. 6 Ziff. 1 EMRK und Art. 14 UNO-Pakt II auf die vorliegende Angelegenheit keine Anwendung (vgl. ZBl 93/1992 308 E. 5b S. 311, mit Hinweisen). Die Garantie des rechtlichen Gehörs im Sinne von Art. 29 Abs. 2 BV sowie die übrigen Bundesverfassungsbestimmungen sehen für politische Angelegenheiten keinen Anspruch auf eine richterliche Beschwerdemöglichkeit vor. Die Rüge ist daher - soweit sie den Begründungsanforderungen von Art. 90 Abs. 1 lit. b OG zu genügen vermag - unbegründet.</w:t>
      </w:r>
    </w:p>
    <w:p>
      <w:r>
        <w:rPr>
          <w:b/>
        </w:rPr>
        <w:t>E. 3</w:t>
      </w:r>
    </w:p>
    <w:p>
      <w:r>
        <w:t>Der Beschwerdeführer beanstandet den Wahlmodus mit den gedruckten Wahlzetteln. Die Wahlliste der Interparteilichen Konferenz verhindere eine demokratische Wahl und verletze das Stimm- und Wahlrecht.</w:t>
      </w:r>
    </w:p>
    <w:p>
      <w:r>
        <w:rPr>
          <w:b/>
        </w:rPr>
        <w:t>E. 3.1</w:t>
      </w:r>
    </w:p>
    <w:p>
      <w:r>
        <w:t>Der Zürcher Majorzwahlmodus mit den gedruckten (überparteilichen) Listen hält vor der Verfassung stand (vgl. bundesgerichtliches Urteil 1P.49/1999 vom 24. August 1999 E. 4, publ. in ZBl 102/2001 S. 40 ff.). Im Übrigen kann gemäss Art. 36a Abs. 3 OG auf die entsprechenden Erwägungen des Regierungsrats verwiesen werden. Was der Beschwerdeführer dagegen vorbringt - soweit überhaupt den Begründungsanforderungen von Art. 90 Abs. 1 lit. b OG genügend -, überzeugt nicht. Die Beschwerde ist deshalb in diesem Punkt abzuweisen, soweit darauf eingetreten werden kann.</w:t>
      </w:r>
    </w:p>
    <w:p>
      <w:r>
        <w:rPr>
          <w:b/>
        </w:rPr>
        <w:t>E. 3.2</w:t>
      </w:r>
    </w:p>
    <w:p>
      <w:r>
        <w:t>Im Weiteren beanstandet der Beschwerdeführer, dass auf der Wahlliste der Interparteilichen Konferenz die Parteibezeichnung der einzelnen Kandidatinnen und Kandidaten fehlte. Das kantonale Wahlgesetz enthält keine Vorschriften dazu. Alle Kandidatinnen und Kandidaten sind in dieser Hinsicht gleich behandelt worden. Der Wähler konnte sich im Laufe des Wahlkampfes über die Parteizugehörigkeit oder Parteilosigkeit der Kandidatinnen und Kandidaten orientieren. Eine Verletzung des Wahlrechts kann somit mit der beanstandeten fehlenden Angabe der Parteibezeichnung nicht begründet werden (vgl. bundesgerichtliches Urteil 1P.49/1999 vom 24. August 1999 E. 5b, publ. in ZBl 102/2001 S. 44). Die Beschwerde erweist sich auch in diesem Punkt als unbegründet.</w:t>
      </w:r>
    </w:p>
    <w:p>
      <w:r>
        <w:rPr>
          <w:b/>
        </w:rPr>
        <w:t>E. 4</w:t>
      </w:r>
    </w:p>
    <w:p>
      <w:r>
        <w:t>Hinsichtlich der vom Beschwerdeführer behaupteten Wahlmanipulationen erweist sich seine Beschwerde, soweit überhaupt den Begründungsanforderungen von Art. 90 Abs. 1 lit. b OG genügend, als offensichtlich unbegründet. Es kann auf die zutreffenden Erwägungen des Regierungsrats verwiesen werden ( Art. 36a Abs. 3 OG ).</w:t>
      </w:r>
    </w:p>
    <w:p>
      <w:r>
        <w:rPr>
          <w:b/>
        </w:rPr>
        <w:t>E. 5</w:t>
      </w:r>
    </w:p>
    <w:p>
      <w:r>
        <w:t>Der Beschwerdeführer beanstandet den Kostenentscheid des Regierungsrats. Dieser auferlegte dem Beschwerdeführer die Verfahrenskosten in Anwendung von § 132 des kantonalen Wahlgesetzes (WAG). Nach dieser Bestimmung können die Kosten des Beschwerdeverfahrens bei grobem Verschulden dem Fehlbaren oder, bei ganzer oder teilweiser Abweisung der Beschwerde, dem Beschwerdeführer auferlegt werden, wenn die Beschwerde mutwillig erhoben worden ist.</w:t>
      </w:r>
    </w:p>
    <w:p>
      <w:r>
        <w:t>Die Regierung beurteilte die Prozessführung des Beschwerdeführers bereits deshalb als mutwillig, weil er in seiner Beschwerde selbst davon ausging, dass seine Beschwerde zu keinem Erfolg führen werde. Dem hält der Beschwerdeführer entgegen, er habe seine Beschwerde keineswegs für rechtlich unhaltbar gehalten. Die Aussichtslosigkeit habe sich lediglich darauf bezogen, dass er von der Regierung keinen anderen Beschwerdeausgang erwartet habe. Etwas anderes hat indessen die Regierung in ihrem Kostenentscheid nicht geltend gemacht. Brachte jedoch der Beschwerdeführer in seiner Beschwerde an die Regierung zum Ausdruck, dass er die Beschwerde - aus welchen Motiven auch immer - für aussichtslos halte, erweist sich der Schluss der Regierung, die Beschwerdeführung erweise sich als mutwillig im Sinne von § 132 WAG , nicht als willkürlich. Die Kostenauflage ist unter diesem Gesichtspunkt nicht zu beanstanden. Bei dieser Sachlage ist nicht ersichtlich, inwiefern die Kostenauflage an den unterliegenden Beschwerdeführer die Meinungsfreiheit verletzt haben sollte, zumal ein Anspruch auf kostenlose Beschwerdebehandlung nicht besteht. Die Beschwerde erweist sich ebenfalls in diesem Punkt als unbegründet und ist abzuweisen.</w:t>
      </w:r>
    </w:p>
    <w:p>
      <w:r>
        <w:rPr>
          <w:b/>
        </w:rPr>
        <w:t>E. 6</w:t>
      </w:r>
    </w:p>
    <w:p>
      <w:r>
        <w:t>Die staatsrechtliche Beschwerde ist somit abzuweisen, soweit darauf eingetreten werden kann. Praxisgemäss werden bei Stimmrechtsbeschwerden keine Kosten erhoben.</w:t>
      </w:r>
    </w:p>
    <w:p>
      <w:r>
        <w:t>Mit dem vorliegenden Entscheid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