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1P.360/2000 vom 3. Oktober 2000</w:t>
      </w:r>
    </w:p>
    <w:p>
      <w:r>
        <w:t>Bundesgericht, 2000-10-03, DE</w:t>
      </w:r>
    </w:p>
    <w:p>
      <w:r>
        <w:rPr>
          <w:b/>
        </w:rPr>
        <w:t xml:space="preserve">Quelle: </w:t>
      </w:r>
      <w:r>
        <w:t>https://mcp.opencaselaw.ch/entscheid/bger_1P.360_2000</w:t>
      </w:r>
    </w:p>
    <w:p>
      <w:r>
        <w:t>FR: TF 1P.360/2000 du 3 octobre 2000</w:t>
      </w:r>
    </w:p>
    <w:p>
      <w:r>
        <w:t>IT: TF 1P.360/2000 del 3 ottobre 2000</w:t>
      </w:r>
    </w:p>
    <w:p>
      <w:pPr>
        <w:pStyle w:val="Heading2"/>
      </w:pPr>
      <w:r>
        <w:t>Erwägungen</w:t>
      </w:r>
    </w:p>
    <w:p>
      <w:r>
        <w:rPr>
          <w:b/>
        </w:rPr>
        <w:t>E. 1</w:t>
      </w:r>
    </w:p>
    <w:p>
      <w:r>
        <w:t>a) Das Bundesgericht prüft die Zulässigkeit der bei ihm eingereichten Beschwerden von Amtes wegen und mit freier Kognition ( BGE 125 I 412 E. 1a mit Hinweisen).</w:t>
      </w:r>
    </w:p>
    <w:p>
      <w:r>
        <w:t>b) Die Staatsanwaltschaft hat die bezirksanwaltschaftliche Verfügung, wonach die am 30. April 1992 sichergestellten Akten teils gewissen Personen zurückzugeben, teils dem Konkursamt zu überlassen sind, im Grundsatz bestätigt, jedoch den Umfang der vom Konkursamt aufzubewahrenden Geschäftsakten der Firma F.________ neu festgelegt. Diese Modalität betrifft indessen einzig die zivilrechtliche Verfügungsmacht über diese Dokumente; das strafprozessuale Beschlagnahmeverfahren, mit dem die den Deliktsvorwurf betreffenden Geschäftsakten zu Ermittlungs- und Beweiserhebungszwecken gesichert wurden, ist mit dem angefochtenen Entscheid abgeschlossen worden. Es handelt sich daher - anders als etwa bei Entscheiden über die Beschlagnahme von Vermögenswerten zur Sicherung einer Einziehung oder einer Ersatzforderung ( BGE 126 I 97 E. 1b S. 101) - um einen kantonal letztinstanzlichen Endentscheid, gegen den die staatsrechtliche Beschwerde zulässig ist (Art. 86 f. OG; zur Abgrenzung vom Zwischenentscheid: BGE 123 I 325 E. 3b ; 122 I 39 E. 1a/aa; 117 Ia 251 E. 1a; je mit Hinweisen).</w:t>
      </w:r>
    </w:p>
    <w:p>
      <w:r>
        <w:t>c) Die Legitimation zur staatsrechtlichen Beschwerde setzt die persönliche Betroffenheit in eigenen rechtlich geschützten Interessen voraus ( Art. 88 OG ). Der Beschwerdeführer rügt eine Verletzung des rechtlichen Gehörs, weil die Staatsanwaltschaft auf Rekurs der Beschwerdegegnerin hin die Herausgabeverfügung der Bezirksanwaltschaft abgeändert habe, ohne ihn vorher anzuhören. Die umstrittene Änderung betrifft Geschäftsakten der Firma F.________, für welche der Beschwerdeführer als Geschäftsführer tätig war. Der Konkurs über diese Gesellschaft wurde am 20. September 1993 geschlossen und ihre Löschung am 21. Oktober 1993 im Schweizerischen Handelsamtsblatt publiziert. Der Beschwerdeführer legt nicht dar, inwiefern die Aushändigung der am 21. Oktober 1993 noch nicht zehn Jahre alten Geschäftsakten der Firma F.________ an das Konkursamt seine Rechtsstellung berühren soll. Da die betreffenden Akten hauptsächlich bei ihm beschlagnahmt wurden und ihm folglich im kantonalen Beschlagnahme- bzw. Herausgabeverfahren Parteistellung zukam, kann er jedoch unabhängig von der Legitimation in der Sache selbst die Verletzung von Verfahrensrechten geltend machen, deren Missachtung eine formelle Rechtsverweigerung darstellt.</w:t>
      </w:r>
    </w:p>
    <w:p>
      <w:r>
        <w:t>Das nach Art. 88 OG erforderliche rechtlich geschützte Interesse ergibt sich diesfalls nicht aus einer Berechtigung in der Sache selbst, sondern aus der Berechtigung, am Verfahren teilzunehmen. Der Beschwerdeführer kann daher mit staatsrechtlicher Beschwerde die Verletzung jener Parteirechte rügen, die ihm nach dem kantonalen Verfahrensrecht oder unmittelbar aufgrund des Verfassungsrechts zustehen ( BGE 122 I 267 E. 1b mit Hinweisen). Da auch die übrigen Sachurteilsvoraussetzungen erfüllt sind, ist auf die Beschwerde einzutreten.</w:t>
      </w:r>
    </w:p>
    <w:p>
      <w:r>
        <w:rPr>
          <w:b/>
        </w:rPr>
        <w:t>E. 2</w:t>
      </w:r>
    </w:p>
    <w:p>
      <w:r>
        <w:t>Der Beschwerdeführer macht geltend, die Staatsanwaltschaft habe auf Rekurs der Beschwerdegegnerin hin über die Herausgabe der beschlagnahmten Akten neu befunden, ohne ihm die Gelegenheit zu geben, sich zum Rekurs zu äussern.</w:t>
      </w:r>
    </w:p>
    <w:p>
      <w:r>
        <w:t>Darin erblickt er eine Verletzung des in den Art. 6 Ziff. 1 EMRK und 29 Abs. 2 BV verankerten Anspruchs auf rechtliches Gehör sowie eine willkürliche Anwendung von § 406 der Strafprozessordnung des Kantons Zürich (StPO/ZH).</w:t>
      </w:r>
    </w:p>
    <w:p>
      <w:r>
        <w:t>a) Das Bundesgericht prüft die Auslegung und Anwendung des kantonalen Verfahrensrechts unter dem Gesichtswinkel der Willkür; mit freier Kognition prüft es hingegen, ob der sich unmittelbar aus dem Verfassungsrecht ergebende Gehörsanspruch verletzt ist ( BGE 121 I 230 E. 2b S. 232, 54 E. 2a S. 56 f.). Aufgrund der formellen Natur des rechtlichen Gehörs führt dessen Verletzung ungeachtet der Rechtslage in der Sache selbst grundsätzlich zur Aufhebung des angefochtenen Entscheids ( BGE 126 I 19 E. 2d/bb S. 24; 124 V 180 E. 4a; 122 II 464 E. 4a S. 469 ; 121 I 230 E. 2a).</w:t>
      </w:r>
    </w:p>
    <w:p>
      <w:r>
        <w:t>b) § 406 StPO /ZH sieht für das strafprozessuale Rekursverfahren vor, dass ein sich nicht sofort als unstatthaft oder als unbegründet erweisender Rekurs der untern Instanz und der Gegenpartei zur Beantwortung mitzuteilen ist.</w:t>
      </w:r>
    </w:p>
    <w:p>
      <w:r>
        <w:t>Das Recht des Betroffenen, sich vor Erlass eines in seine Rechtsstellung eingreifenden Entscheides zur Sache zu äussern und an der Erhebung wesentlicher Beweise mitzuwirken, ergibt sich auch aus Art. 29 Abs. 2 BV ( BGE 126 I 15 E. 2a/aa und 7 E. 2b; 119 Ia 260 E. 6a S. 261 mit Hinweisen) und aus dem in Art. 6 Ziff. 1 EMRK garantierten Anspruch auf ein faires Verfahren. Das rechtliche Gehör dient in diesem Sinne der Sachaufklärung und garantiert dem Betroffenen ein persönlichkeitsbezogenes Mitwirkungsrecht im Verfahren ( BGE 126 I 7 E. 2b ; 124 I 241 E. 2 und 49 E. 3a; je mit Hinweisen).</w:t>
      </w:r>
    </w:p>
    <w:p>
      <w:r>
        <w:t>c) Die Verfügung der Bezirksanwaltschaft vom 16. März 2000 sieht vor, die am 30. April 1992 im Rahmen diverser Hausdurchsuchungen beschlagnahmten Akten denjenigen Personen zurückzugeben, bei denen sie sichergestellt wurden, soweit sich nicht Geschäftsakten darunter befinden, die dem Konkursamt zur Aufbewahrung zu überlassen sind. Mit dem angefochtenen Entscheid der Staatsanwaltschaft wurden Umfang und Bestand der dem Konkursamt herauszugebenden Akten verändert, was den Beschwerdeführer insofern berührt, als die Geschäftspapiere der Firma F.________ grösstenteils bei ihm sichergestellt worden waren. Als Verfahrensbeteiligter war</w:t>
      </w:r>
    </w:p>
    <w:p>
      <w:r>
        <w:t>er somit offensichtlich von der Neuverteilung der beschlagnahmten Akten und mithin vom Rekurs der Beschwerdegegnerin betroffen. Dass die Staatsanwaltschaft den Beschwerdeführer nicht einlud, zum Rekurs Stellung zu nehmen, obwohl sie diesen sogar teilweise guthiess, stellt eine klare Verletzung von § 406 StPO /ZH dar und verstösst gleichzeitig gegen die Art. 6 Ziff. 1 EMRK und 29 Abs. 2 BV.</w:t>
      </w:r>
    </w:p>
    <w:p>
      <w:r>
        <w:rPr>
          <w:b/>
        </w:rPr>
        <w:t>E. 3</w:t>
      </w:r>
    </w:p>
    <w:p>
      <w:r>
        <w:t>Die Beschwerde ist daher gutzuheissen und der angefochtene Entscheid aufzuheben. Von einer Erhebung von Gerichtskosten ist abzusehen, da die Beschwerdegegnerin an diesem Verfahren nicht teilgenommen hat und der Kanton Zürich keine eigenen Vermögensinteressen vertritt ( Art. 156 Abs. 1 und 2 OG ). Hingegen hat der Kanton Zürich den Beschwerdeführer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