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1P.348/2003 vom 4. November 2003</w:t>
      </w:r>
    </w:p>
    <w:p>
      <w:r>
        <w:t>Bundesgericht, 2003-11-04, DE</w:t>
      </w:r>
    </w:p>
    <w:p>
      <w:r>
        <w:rPr>
          <w:b/>
        </w:rPr>
        <w:t xml:space="preserve">Quelle: </w:t>
      </w:r>
      <w:r>
        <w:t>https://mcp.opencaselaw.ch/entscheid/bger_1P.348_2003</w:t>
      </w:r>
    </w:p>
    <w:p>
      <w:r>
        <w:t>FR: TF 1P.348/2003 du 4 novembre 2003</w:t>
      </w:r>
    </w:p>
    <w:p>
      <w:r>
        <w:t>IT: TF 1P.348/2003 del 4 novembre 2003</w:t>
      </w:r>
    </w:p>
    <w:p>
      <w:pPr>
        <w:pStyle w:val="Heading2"/>
      </w:pPr>
      <w:r>
        <w:t>Regeste</w:t>
      </w:r>
    </w:p>
    <w:p>
      <w:r>
        <w:t>Raumplanung und öffentliches Baurecht</w:t>
      </w:r>
    </w:p>
    <w:p>
      <w:pPr>
        <w:pStyle w:val="Heading2"/>
      </w:pPr>
      <w:r>
        <w:t>Erwägungen</w:t>
      </w:r>
    </w:p>
    <w:p>
      <w:r>
        <w:rPr>
          <w:b/>
        </w:rPr>
        <w:t>E. 1</w:t>
      </w:r>
    </w:p>
    <w:p>
      <w:r>
        <w:t>Das Bundesgericht prüft von Amtes wegen und mit freier Kognition, ob und inwieweit auf eine staatsrechtliche Beschwerde einzutreten ist ( BGE 128 I 177 E. 1 mit Hinweis).</w:t>
      </w:r>
    </w:p>
    <w:p>
      <w:r>
        <w:rPr>
          <w:b/>
        </w:rPr>
        <w:t>E. 2</w:t>
      </w:r>
    </w:p>
    <w:p>
      <w:r>
        <w:t>Die Beschwerdeführerin wendet sich nicht gegen die Genehmigung der Umzonung, welche ihrem Wunsch entspricht. Sie beanstandet vielmehr, dass der Regierungsrat im Genehmigungsentscheid verbindlich geregelt habe, wie anlässlich der Überbauung des umgezonten Grundstücks der Seeabstand nach Art. 40 Abs. 1 lit. e BauG zu bemessen sei. Der Regierungsrat macht demgegenüber geltend, die Erwägung 2.2 des Genehmigungsbeschlusses betreffend Messweise des Seeabstandes stelle keinen Hoheitsakt, insbesondere keine Verfügung dar, da keine konkrete Rechtsbeziehung in verbindlicher und erzwingbarer Weise geregelt worden sei. Auf die Beschwerde sei daher nicht einzutreten.</w:t>
      </w:r>
    </w:p>
    <w:p>
      <w:r>
        <w:rPr>
          <w:b/>
        </w:rPr>
        <w:t>E. 2.1</w:t>
      </w:r>
    </w:p>
    <w:p>
      <w:r>
        <w:t>...</w:t>
      </w:r>
    </w:p>
    <w:p>
      <w:r>
        <w:rPr>
          <w:b/>
        </w:rPr>
        <w:t>E. 2.2</w:t>
      </w:r>
    </w:p>
    <w:p>
      <w:r>
        <w:t>Gegen eine solche Auslegung des Genehmigungsentscheids sprechen verschiedene Umstände. In erster Linie fehlt der Erwägung ein zwingender Bezug zur Genehmigungsfähigkeit der kommunalen Zonenplanänderung, deren Zulässigkeit auch nach den Erwägungen des Regierungsrates nicht davon abhängt, wie der Seeabstand gemessen wird. Vielmehr wird damit eine klassische bau(polizei)rechtliche Frage aufgegriffen, die verbindlich erst im Baubewilligungsverfahren zu klären ist. Damit liegt es nahe, die Erwägung 2.2 als Hinweis auf die Rechtslage bzw. als fallbezogene Weisung des Regierungsrats an die kommunale Baubehörde zu verstehen. Abgesehen von der hier nicht weiter zu erörternden Frage, ob der Regierungsrat gegenüber der kommunalen Baubehörde diesbezüglich weisungsbefugt ist oder sich zur Wahrung der kommunalen Autonomie nicht auf eine blosse Meinungsäusserung zu beschränken hat, weist eine allfällige Dienstanweisung nicht Verfügungscharakter auf, weil sie allein die untergeordnete Dienststelle bindet ( BGE 121 II 473 E. 2b, siehe auch BGE 124 II 383 ; Ulrich Häfelin/Georg Müller, Allgemeines Verwaltungsrecht, 4. A., Zürich 2002, Rz. 867; Kölz/ Häner, a.a.O., Rz. 500). Verfügungscharakter kommt somit erst der entsprechenden Anordnung im Baubewilligungsverfahren zu. Um unnötige Planungsaufwendungen zu vermeiden, könnte die Beschwerdeführerin über die Bemessung des Seeabstandes einen Vorentscheid im Sinne von Art. 23 Abs. 3 BauG erwirken. Sodann fällt in Betracht, dass die Beschwerdeführerin am Genehmigungsverfahren in keiner Weise beteiligt wurde. Es darf angenommen werden, dass sich der Regierungsrat bewusst war, dass er eine gegenüber der Beschwerdeführerin wirksame Verfügung nicht ohne deren Mitwirkung hätte anordnen dürfen. Schliesslich besteht auch sonst kein Grund, der Erwägung 2.2 des angefochtenen Entscheides eine die Beschwerdeführerin verpflichtende Verfügungswirkung beizumessen, nachdem der Regierungsrat selbst in der Beschwerdeantwort ausdrücklich bestätigt, dass es sich dabei nicht um eine Verfügung handle.</w:t>
      </w:r>
    </w:p>
    <w:p>
      <w:r>
        <w:rPr>
          <w:b/>
        </w:rPr>
        <w:t>E. 2.3</w:t>
      </w:r>
    </w:p>
    <w:p>
      <w:r>
        <w:t>Somit ist auf die Beschwerde mangels eines zulässigen Anfechtungsobjektes nicht einzutreten.</w:t>
      </w:r>
    </w:p>
    <w:p>
      <w:r>
        <w:rPr>
          <w:b/>
        </w:rPr>
        <w:t>E. 3</w:t>
      </w:r>
    </w:p>
    <w:p>
      <w:r>
        <w:t>Selbst wenn dem Genehmigungsentscheid hinsichtlich der streitigen Frage Verfügungscharakter zukäme, so wäre auf die Beschwerde nicht einzutreten, weil der innerkantonale Rechtsmittelweg nicht ausgeschöpft wurde ( Art. 86 Abs. 1 OG ). Gemäss Art. 61 Abs. 5 BauG ist auf dem Gebiet des Bau- und Planungsrechts die Beschwerde an das kantonale Verwaltungsgericht zulässig gegen Entscheide des Regierungsrates, wenn gegen den letztinstanzlichen kantonalen Verwaltungsentscheid die Verwaltungsgerichtsbeschwerde an das Bundesgericht oder die staatsrechtliche Beschwerde an das Bundesgericht gegeben ist (lit. a); gegen Genehmigungs- und Beschwerdeentscheide des Regierungsrates, die Quartierpläne, Baulinien, Landumlegungen sowie Planungszonen betreffen (lit. b); gegen alle übrigen Nutzungs- und Schutzplanungen, sofern übergeordnetes Bundes- oder Staatsvertragsrecht es verlangt und wenn der Beschwerdeführer auch zur staatsrechtlichen Beschwerde an das Bundesgericht befugt ist (lit. c). Gemäss Art. 33 Abs. 2 RPG sieht das kantonale Recht wenigstens ein Rechtsmittel vor gegen Verfügungen und Nutzungspläne, die sich auf dieses Gesetz und seine kantonalen und eidgenössischen Ausführungsbestimmungen stützen. Art. 61 Abs. 5 lit. c BauG ist unter anderem als Umsetzung von Art. 33 Abs. 2 RPG zu verstehen. Käme dem Genehmigungsentscheid des Regierungsrates die von der Beschwerdeführerin angenommene Bedeutung zu, so läge darin eine der Änderung des Zonenplans gleichzusetzende neue Anordnung, welche anzufechten die Beschwerdeführerin zuvor keine Gelegenheit hatte. Hierzu stünde ihr nach den erwähnten Vorschriften zunächst die Beschwerde an das kantonale Verwaltungsgericht zur Verfügung (vgl. auch Notker Dillier, Der Rechtsschutz im Bau- und Planungsrecht, Sarnen 1994, S. 177, mit Hinweis auf LGVE 1991 11 Nr. 1; zur vergleichbaren Praxis im Kanton Zürich siehe RB 1994 Nr. 10 und 17 sowie Kölz/Bosshart/Röhl, a.a.0. § 43 N. 12).</w:t>
      </w:r>
    </w:p>
    <w:p>
      <w:r>
        <w:rPr>
          <w:b/>
        </w:rPr>
        <w:t>E. 4</w:t>
      </w:r>
    </w:p>
    <w:p>
      <w:r>
        <w:t>Bei diesem Ausgang des Verfahrens sind die bundesgerichtlichen Kosten der Beschwerdeführerin aufzuerlegen ( Art. 156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