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1P.348/2000 vom 3. Oktober 2000</w:t>
      </w:r>
    </w:p>
    <w:p>
      <w:r>
        <w:t>Bundesgericht, 2000-10-03, DE</w:t>
      </w:r>
    </w:p>
    <w:p>
      <w:r>
        <w:rPr>
          <w:b/>
        </w:rPr>
        <w:t xml:space="preserve">Quelle: </w:t>
      </w:r>
      <w:r>
        <w:t>https://mcp.opencaselaw.ch/entscheid/bger_1P.348_2000</w:t>
      </w:r>
    </w:p>
    <w:p>
      <w:r>
        <w:t>FR: TF 1P.348/2000 du 3 octobre 2000</w:t>
      </w:r>
    </w:p>
    <w:p>
      <w:r>
        <w:t>IT: TF 1P.348/2000 del 3 ottobre 2000</w:t>
      </w:r>
    </w:p>
    <w:p>
      <w:pPr>
        <w:pStyle w:val="Heading2"/>
      </w:pPr>
      <w:r>
        <w:t>Erwägungen</w:t>
      </w:r>
    </w:p>
    <w:p>
      <w:r>
        <w:rPr>
          <w:b/>
        </w:rPr>
        <w:t>E. 1</w:t>
      </w:r>
    </w:p>
    <w:p>
      <w:r>
        <w:t>a) Das Bundesgericht prüft die Zulässigkeit der bei ihm eingereichten Beschwerden von Amtes wegen und mit freier Kognition ( BGE 125 I 412 E. 1a mit Hinweisen).</w:t>
      </w:r>
    </w:p>
    <w:p>
      <w:r>
        <w:t>b) Die Staatsanwaltschaft hat die bezirksanwaltschaftliche Verfügung bestätigt, soweit die Aufhebung der strafprozessualen Beschlagnahme der Geschäftsakten der Firma F.________ zu Ermittlungs- und Beweiserhebungszwecken in Frage stand. Die Beschlagnahmung diente einzig dem Zweck der Beweissicherung und nicht etwa der Sicherung einer Einziehung oder einer Ersatzforderung, weshalb mit der Bestätigung ihrer Aufhebung das Beschlagnahmeverfahren kantonal letztinstanzlich abgeschlossen wurde. Der angefochtene Entscheid stellt daher einen mit staatsrechtlicher Beschwerde anfechtbaren Endentscheid dar (Art. 86 f. OG; zur Abgrenzung vom Zwischenentscheid: BGE 126 I 97 E. 1b S. 101 ; 123 I 325 E. 3b ; 122 I 39 E. 1a/aa; 117 Ia 251 E. 1a; je mit Hinweisen).</w:t>
      </w:r>
    </w:p>
    <w:p>
      <w:r>
        <w:t>c) Zur Erhebung der staatsrechtlichen Beschwerde ist legitimiert, wer in seinen eigenen rechtlich geschützten Interessen persönlich betroffen ist ( Art. 88 OG ).</w:t>
      </w:r>
    </w:p>
    <w:p>
      <w:r>
        <w:t>aa) Nach ständiger Praxis des Bundesgerichts steht der Strafanspruch ausschliesslich dem Staat zu. Der durch eine angeblich strafbare Handlung Geschädigte ist demnach mangels eines rechtlich geschützten eigenen Interesses an der Verfolgung und Bestrafung des Täters grundsätzlich nicht befugt, gegen die Einstellung einer Strafuntersuchung oder gegen ein freisprechendes Urteil Beschwerde zu führen ( BGE 120 Ia 157 E. 2a/aa; 108 Ia 99 E. 1 je mit Hinweisen).</w:t>
      </w:r>
    </w:p>
    <w:p>
      <w:r>
        <w:t>Dasselbe gilt für den vorliegend angefochtenen Entscheid; denn die Beschlagnahme der umstrittenen Akten diente einzig der Beweissicherung in der laufenden Strafuntersuchung und mithin der Durchsetzung des staatlichen Strafanspruchs. Die in Art. 8 Abs. 1 des Bundesgesetzes vom 4. Oktober 1991 über die Hilfe an Opfer von Straftaten (Opferhilfegesetz, OHG [SR 312. 5]) vorgesehene erweiterte Beschwerdelegitimation, die nach der Rechtsprechung auch für die staatsrechtliche Beschwerde gilt ( BGE 120 Ia 101 E. 2a S. 105), greift hier schon deshalb nicht, weil die Beschwerdeführerin als Handelsgesellschaft nicht unter den Opferbegriff von Art. 2 Abs. 1 OHG fällt.</w:t>
      </w:r>
    </w:p>
    <w:p>
      <w:r>
        <w:t>bb) Der Beschwerdeführerin kam im kantonalen Beschlagnahme- bzw. Herausgabeverfahren Parteistellung zu. Sie kann deshalb unabhängig von der Legitimation in der Sache selbst die Verletzung jener Parteirechte rügen, die ihr nach dem kantonalen Verfahrensrecht oder unmittelbar aufgrund des Verfassungsrechts zustehen und deren Missachtung eine formelle Rechtsverweigerung darstellt ( BGE 122 I 267 E. 1b; 120 Ia 220 E. 2a; je mit Hinweisen). Sie kann beispielsweise geltend machen, auf ein Rechtsmittel sei zu Unrecht nicht eingetreten worden, sie sei nicht angehört worden, habe keine Gelegenheit gehabt, Beweisanträge zu stellen, oder habe keine Einsicht in die Akten nehmen können. Hingegen kann sie weder die Würdigung der beantragten Beweise noch die - aufgrund vorweggenommener Beweiswürdigung oder wegen Unerheblichkeit erfolgte - Ablehnung ihrer Beweisanträge rügen; diese Fragen hängen eng mit der materiellen Rechtslage zusammen, auf deren Beurteilung der in der Sache selbst nicht Legitimierte keinen Anspruch hat ( BGE 120 Ia 157 E. 2a/bb mit Hinweisen).</w:t>
      </w:r>
    </w:p>
    <w:p>
      <w:r>
        <w:t>Soweit die Beschwerdeführerin rügt, die Aussortierung der beschlagnahmten Dokumente sei in unzulässiger antizipierter Beweiswürdigung erfolgt, kann auf ihre Beschwerde schon mangels ausreichender Begründung im Sinn von Art. 90 Abs. 1 lit. b OG nicht eingetreten werden: Sie legt in keiner Weise dar, welche Rechtsnormen es inwiefern den Strafverfolgungsbehörden verbieten würden, die Akten im Verlauf der Untersuchung vorweg auf ihre Verfahrensrelevanz hin zu prüfen. Auf die Rüge, die Staatsanwaltschaft habe nicht ausreichend begründet, weshalb die beschlagnahmten Akten zu Beweiszwecken nicht mehr benötigt würden und damit § 98 der Strafprozessordnung des Kantons Zürich (StPO/ZH) willkürlich angewendet, ist ebenfalls nicht einzutreten, weil Fragen der Beweistauglichkeit und Beweiseignung im Strafprozess einen engen Bezug zur materiellen Rechtslage aufweisen, die hier mangels Legitimation der Beschwerdeführerin in der Sache nicht beurteilt werden können. Das Gleiche gilt, soweit die Beschwerdeführerin der Staatsanwaltschaft vorwirft, sie hätte sich nicht näher damit auseinander gesetzt, weshalb die herauszugebenden Akten ihre Beweiserheblichkeit eingebüsst hätten. Dass die Beschwerdeführerin keine Gelegenheit gehabt hätte, Beweisanträge zu stellen, macht sie - zu Recht - nicht geltend. Zulässig sind indessen ihre Rügen, der angefochtene Entscheid verletze das Akteneinsichtsrecht und halte den verfassungsmässigen Begründungsanforderungen nicht stand, soweit er den Einblick in die beschlagnahmten Akten verweigere.</w:t>
      </w:r>
    </w:p>
    <w:p>
      <w:r>
        <w:t>d) Nachdem die übrigen Sachurteilsvoraussetzungen erfüllt sind, ist im dargelegten Umfang auf die Beschwerde einzutreten.</w:t>
      </w:r>
    </w:p>
    <w:p>
      <w:r>
        <w:rPr>
          <w:b/>
        </w:rPr>
        <w:t>E. 2</w:t>
      </w:r>
    </w:p>
    <w:p>
      <w:r>
        <w:t>a) Der in Art. 29 Abs. 2 BV gewährleistete Anspruch auf rechtliches Gehör dient der Sachaufklärung und garantiert dem Betroffenen ein persönlichkeitsbezogenes Mitwirkungsrecht im Verfahren ( BGE 126 I 7 E. 2b ; 124 I 241 E. 2 und 49 E. 3a; je mit Hinweisen). Er verpflichtet die Behörden grundsätzlich, ihren Entscheid zu begründen, was sowohl der Transparenz der Entscheidfindung als auch der Selbstkontrolle der Behörden dient ( BGE 124 II 146 E. 2a; 124 V 180 E. 1a; 117 Ib 64 E. 4 S. 86, 481 E. 6b/bb, je mit Hinweisen).</w:t>
      </w:r>
    </w:p>
    <w:p>
      <w:r>
        <w:t>Daher muss sie wenigstens kurz die Überlegungen darstellen, von denen sie sich leiten liess. Andererseits darf sich die Begründung auf die für den Entscheid wesentlichen Gesichtspunkte beschränken, muss sich also nicht mit jeder tatbeständlichen Behauptung und jedem rechtlichen Argument des Beschwerdeführers auseinander setzen (vgl. dazu ausführlich BGE 112 Ia 107 E. 2b mit Hinweisen; BGE 123 I 31 E. 2c). Die Anforderungen an die Begründung werden umso höher gestellt, je grösser der Entscheidungsspielraum der Behörde ist und je stärker ein Entscheid in die individuellen Rechte eingreift ( BGE 112 Ia 107 E. 2b mit Hinweisen).</w:t>
      </w:r>
    </w:p>
    <w:p>
      <w:r>
        <w:t>Die Verletzung des rechtlichen Gehörs führt aufgrund dessen formeller Natur ungeachtet der Rechtslage in der Sache selbst grundsätzlich zur Aufhebung des angefochtenen Entscheids ( BGE 126 I 19 E. 2d/bb S. 24; 124 V 180 E. 4a; 122 II 464 E. 4a S. 469 ; 121 I 230 E. 2a).</w:t>
      </w:r>
    </w:p>
    <w:p>
      <w:r>
        <w:t>b) Auf die Rüge der mangelnden Begründung kann - wie bereits erwähnt - nicht eingetreten werden, soweit Fragen der Beweiseignung und Beweistauglichkeit der freizugebenden Akten zur Diskussion stehen. Es scheint aber, dass die Beschwerdeführerin auch insofern eine mangelnde Begründung rügt, als sie im kantonalen Verfahren vorgebracht habe, Akteneinsichtsrechte würden der umstrittenen Aktenfreigabe entgegenstehen.</w:t>
      </w:r>
    </w:p>
    <w:p>
      <w:r>
        <w:t>Gegenstand des kantonalen Verfahrens bildete einzig die Herausgabe eines Teils der beschlagnahmten Akten. Ob der Beschwerdeführerin vor der Freigabe der umstrittenen Akten Einsicht in diese zu gewähren sei, stand im Herausgabeverfahren nicht zur Diskussion. Dass frühere Entscheide über die Akteneinsicht ergangen sind und der angefochtene Herausgabeentscheid rein faktisch Auswirkungen auf die Ausübung der Akteneinsicht nach sich zieht, ändert daran nichts. Um unerwünschten faktischen Auswirkungen vorzubeugen, hätte die Beschwerdeführerin im Herausgabeverfahren das Gesuch stellen können, vor einer Freigabe sei ihr Einsicht in die umstrittenen Akten zu gewähren. Da dies unterblieb, mussten sich die kantonalen Behörden nicht veranlasst sehen, eine Interessenabwägung vorzunehmen, um zu entscheiden, ob eine allfällige Akteneinsicht gewissen Beschränkungen unterworfen werden kann oder nicht. Die Staatsanwaltschaft hat im angefochtenen Entscheid unter Hinweis auf die § § 96 Abs. 2 und 99 StPO ausgeführt, die Untersuchungsbehörden hätten nur diejenigen sichergestellten Unterlagen zu den Untersuchungsakten zu erheben, welche für das Strafverfahren, d.h. für die Durchsetzung des staatlichen Strafanspruchs, relevant sind. Nachdem diese Unterlagen aus dem umfangreichen beschlagnahmten Aktenmaterial aussortiert und zu den Untersuchungsakten genommen worden seien, stehe einer Herausgabe der nicht mehr benötigten Dokumente nichts mehr entgegen.</w:t>
      </w:r>
    </w:p>
    <w:p>
      <w:r>
        <w:t>Inwiefern diese Begründung den verfassungsrechtlichen Anforderungen nicht genügen sollte, ist nach dem Gesagten nicht ersichtlich, zumal die Staatsanwaltschaft mit diesen Überlegungen auch zum der Bezirksanwaltschaft vorgeworfenen Begründungsmangel Stellung genommen hat. Die Rüge der Verletzung der Begründungspflicht erweist sich demnach in jeder Hinsicht als unbegründet.</w:t>
      </w:r>
    </w:p>
    <w:p>
      <w:r>
        <w:t>c) Die Beschwerdeführerin rügt sodann, der angefochtene Freigabeentscheid unterlaufe ihr mit Rekursentscheid vom 9. September 1993 "zugesprochenes" Akteneinsichtsrecht.</w:t>
      </w:r>
    </w:p>
    <w:p>
      <w:r>
        <w:t>Es ist nicht ersichtlich, inwiefern dieser Entscheid einen verfassungsmässigen Anspruch begründet hätte, der es der Beschwerdeführerin ermöglichte, die Sortierung der Akten durch die Untersuchungsbehörden und mithin die Aktenfreigabe zu verhindern. Die Ausscheidung nicht relevanter Akten berührt die Beschwerdeführerin mangels eines eigenen Strafanspruchs nicht in ihrer Rechtsstellung als Geschädigte und fällt mithin nicht in den Schutzbereich ihres aus dem rechtlichen Gehör fliessenden Anspruchs auf Akteneinsicht.</w:t>
      </w:r>
    </w:p>
    <w:p>
      <w:r>
        <w:t>Sie kann deshalb auch aus dem Vertrauensprinzip nach Art. 9 BV oder aus dem Recht auf ein faires Verfahren nach Art. 6 Ziff. 1 EMRK nicht ableiten, gestützt auf den Entscheid vom 9. September 1993 habe sie auch in Bezug auf Akten, die nicht zu den Verfahrensakten genommen werden, ein Einsichtsrecht, das einer Aktenfreigabe entgegenstehe.</w:t>
      </w:r>
    </w:p>
    <w:p>
      <w:r>
        <w:rPr>
          <w:b/>
        </w:rPr>
        <w:t>E. 3</w:t>
      </w:r>
    </w:p>
    <w:p>
      <w:r>
        <w:t>Demnach ist die staatsrechtliche Beschwerde abzuweisen, soweit darauf einzutreten war. Dem Verfahrensausgang entsprechend sind die Kosten des bundesgerichtlichen Verfahrens der Beschwerdeführerin aufzuerlegen ( Art. 156 Abs. 1 OG ). Diese hat dem Beschwerdegegner eine angemessene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