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1P.339/2003 vom 6. Oktober 2003</w:t>
      </w:r>
    </w:p>
    <w:p>
      <w:r>
        <w:t>Bundesgericht, 2003-10-06, DE</w:t>
      </w:r>
    </w:p>
    <w:p>
      <w:r>
        <w:rPr>
          <w:b/>
        </w:rPr>
        <w:t xml:space="preserve">Quelle: </w:t>
      </w:r>
      <w:r>
        <w:t>https://mcp.opencaselaw.ch/entscheid/bger_1P.339_2003</w:t>
      </w:r>
    </w:p>
    <w:p>
      <w:r>
        <w:t>FR: TF 1P.339/2003 du 6 octobre 2003</w:t>
      </w:r>
    </w:p>
    <w:p>
      <w:r>
        <w:t>IT: TF 1P.339/2003 del 6 ottobre 2003</w:t>
      </w:r>
    </w:p>
    <w:p>
      <w:pPr>
        <w:pStyle w:val="Heading2"/>
      </w:pPr>
      <w:r>
        <w:t>Regeste</w:t>
      </w:r>
    </w:p>
    <w:p>
      <w:r>
        <w:t>Politische Rechte</w:t>
      </w:r>
    </w:p>
    <w:p>
      <w:pPr>
        <w:pStyle w:val="Heading2"/>
      </w:pPr>
      <w:r>
        <w:t>Erwägungen</w:t>
      </w:r>
    </w:p>
    <w:p>
      <w:r>
        <w:rPr>
          <w:b/>
        </w:rPr>
        <w:t>E. 1</w:t>
      </w:r>
    </w:p>
    <w:p>
      <w:r>
        <w:t>Im Rahmen der Verfahrensinstruktion hat sich ergeben, dass die 30-tägige Frist zur Einreichung der staatsrechtlichen Beschwerde ( Art. 89 Abs. 1 OG ) nicht eingehalten worden ist. Die Beschwerdeführer bestreiten dies nicht. Indessen stellen sie sich auf den Standpunkt, das Bundesgericht müsse gleichwohl auf ihre staatsrechtliche Beschwerde eintreten, weil sie Nichtigkeit und die Verletzung von unverjährbaren und unverzichtbaren Rechten geltend machten.</w:t>
      </w:r>
    </w:p>
    <w:p>
      <w:r>
        <w:rPr>
          <w:b/>
        </w:rPr>
        <w:t>E. 2</w:t>
      </w:r>
    </w:p>
    <w:p>
      <w:r>
        <w:t>Im parallelen Verfahren 1P.313/2003 hat das Bundesgericht am 6. Oktober 2003 in Bezug auf den die gleichen Sachumstände betreffenden Entscheid der Direktion der Justiz und des Innern des Kantons Zürich vom 4. April 2003 im Wesentlichen zweierlei erkannt: Zum einen könne nicht von der Nichtigkeit des Kantonsratsbeschlusses vom 26. August 2002 ausgegangen werden; zum andern könne auch nicht angenommen werden, es stünden unverjährbare und unverzichtbare Rechte der Beschwerdeführer zur Diskussion (vgl. E. 3 und 4 des genannten bundesgerichtlichen Urteils). Für die Anfechtung des Regierungsratsbeschlusses vom 16. April 2003 gilt nichts anderes. Damit ist der Argumentation der Beschwerdeführer die Grundlage entzogen. Es bleibt dabei, dass ihre staatsrechtliche Beschwerde verspätet ist, weshalb darauf nicht eingetreten werden kann.</w:t>
      </w:r>
    </w:p>
    <w:p>
      <w:r>
        <w:rPr>
          <w:b/>
        </w:rPr>
        <w:t>E. 3</w:t>
      </w:r>
    </w:p>
    <w:p>
      <w:r>
        <w:t>Nach der Praxis des Bundesgerichts werden bei Stimmrechtsbeschwerden keine Kosten erhoben. Mit Blick auf den Prozessausgang besteht auch kein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