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1P.320/2003 vom 22. August 2003</w:t>
      </w:r>
    </w:p>
    <w:p>
      <w:r>
        <w:t>Bundesgericht, 2003-08-22, FR</w:t>
      </w:r>
    </w:p>
    <w:p>
      <w:r>
        <w:rPr>
          <w:b/>
        </w:rPr>
        <w:t xml:space="preserve">Quelle: </w:t>
      </w:r>
      <w:r>
        <w:t>https://mcp.opencaselaw.ch/entscheid/bger_1P.320_2003</w:t>
      </w:r>
    </w:p>
    <w:p>
      <w:r>
        <w:t>FR: TF 1P.320/2003 du 22 août 2003</w:t>
      </w:r>
    </w:p>
    <w:p>
      <w:r>
        <w:t>IT: TF 1P.320/2003 del 22 agosto 2003</w:t>
      </w:r>
    </w:p>
    <w:p>
      <w:pPr>
        <w:pStyle w:val="Heading2"/>
      </w:pPr>
      <w:r>
        <w:t>Regeste</w:t>
      </w:r>
    </w:p>
    <w:p>
      <w:r>
        <w:t>Aménagement du territoire et droit public des constructions</w:t>
      </w:r>
    </w:p>
    <w:p>
      <w:pPr>
        <w:pStyle w:val="Heading2"/>
      </w:pPr>
      <w:r>
        <w:t>Erwägungen</w:t>
      </w:r>
    </w:p>
    <w:p>
      <w:r>
        <w:rPr>
          <w:b/>
        </w:rPr>
        <w:t>E. 1</w:t>
      </w:r>
    </w:p>
    <w:p>
      <w:r>
        <w:t>La recourante invoque la garantie constitutionnelle de la propriété ( art. 26 Cst. ), mais son argumentation ne comporte aucune discussion de l'affectation litigieuse par rapport aux exigences de cette garantie. La motivation du recours ne met en cause que la primauté des dispositions de droit fédéral ( art. 49 al. 1 Cst. ) relatives au rôle des autorités cantonales de recours.</w:t>
      </w:r>
    </w:p>
    <w:p>
      <w:r>
        <w:rPr>
          <w:b/>
        </w:rPr>
        <w:t>E. 2</w:t>
      </w:r>
    </w:p>
    <w:p>
      <w:r>
        <w:t>La loi fédérale sur l'aménagement du territoire (LAT) tend à assurer une utilisation mesurée du sol et une occupation rationnelle du territoire. Elle exige, à cette fin, l'établissement de plans d'affection du sol et elle fixe les principes à suivre dans ce domaine. Les cantons doivent notamment instituer une protection juridique en faveur des propriétaires ou autres citoyens concernés par la planification, et leur garantir l'accès à au moins une autorité de recours exerçant un libre pouvoir d'examen ( art. 33 al. 3 let. b LAT ).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w:t>
      </w:r>
    </w:p>
    <w:p>
      <w:r>
        <w:rPr>
          <w:b/>
        </w:rPr>
        <w:t>E. 3</w:t>
      </w:r>
    </w:p>
    <w:p>
      <w:r>
        <w:t>Dans sa décision du 3 juillet 2002, la Direction des travaux publics a exposé de façon exacte et complète, selon la jurisprudence précitée, les limites du contrôle qui lui incombait. Dans l'exercice de ce contrôle, elle a invalidé l'attribution d'une partie de la parcelle n° 89 à la zone d'intérêt général, conformément aux conclusions et à l'argumentation de la recourante. Pour le surplus, elle a étudié de façon détaillée le tracé retenu par le Conseil communal pour la délimitation des zones à bâtir et de la zone agricole, tracé qui attribue le reste de la parcelle à cette zone-ci. Elle est parvenue à la conclusion que la solution ainsi retenue était cohérente et opportune, en particulier du point de vue du développement spatial prévu pour le milieu bâti. La Direction a aussi envisagé une délimitation différente, qui eût satisfait la recourante en incluant son terrain dans les zones à bâtir; cette solution était jugée également opportune, mais pas meilleure que l'autre, de sorte qu'il ne se justifiait pas de l'imposer à l'autorité communale. La recourante fait valoir que le classement de la parcelle n° 89 en zone à bâtir était possible par rapport aux règles de l'aménagement du territoire et que cela correspondait à l'intention initiale du Conseil communal. Elle soupçonne que cette autorité a changé d'avis dans un simple but de représailles, à la suite de son propre refus de vendre à bas prix le bâtiment existant. Elle reproche à la Direction et au Tribunal administratif de n'avoir pas vérifié si ce retournement répondait à des motifs valables au regard desdites règles. La Direction a dûment contrôlé le plan d'affectation tel qu'adopté par le Conseil communal, et elle l'a réformé seulement sur le point où la planification litigieuse se révélait dépourvue de justification pertinente. L'autorité de recours n'était aucunement tenue de reconstituer et étudier les diverses variantes envisagées lors de l'élaboration de ce document, ni d'évaluer les motifs qui ont déterminé le Conseil communal à écarter certaines d'entre elles pour en retenir d'autres. En vérifiant que la planification litigieuse fût adéquate dans son résultat et ses effets, sans égard aux espérances que les travaux préparatoires avaient pu éveiller, la Direction a pleinement satisfait aux exigences de l' art. 33 al. 3 let. b LAT . Ainsi, au moins une des deux autorités cantonales de recours a fourni à la recourante la protection juridique garantie par cette disposition. Le recours de droit public, mal fondé, doit être rejeté.</w:t>
      </w:r>
    </w:p>
    <w:p>
      <w:r>
        <w:rPr>
          <w:b/>
        </w:rPr>
        <w:t>E. 4</w:t>
      </w:r>
    </w:p>
    <w:p>
      <w:r>
        <w:t>A titre de partie qui succombe, la recourante doit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