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1P.318/2004 vom 5. Juli 2004</w:t>
      </w:r>
    </w:p>
    <w:p>
      <w:r>
        <w:t>Bundesgericht, 2004-07-05, FR</w:t>
      </w:r>
    </w:p>
    <w:p>
      <w:r>
        <w:rPr>
          <w:b/>
        </w:rPr>
        <w:t xml:space="preserve">Quelle: </w:t>
      </w:r>
      <w:r>
        <w:t>https://mcp.opencaselaw.ch/entscheid/bger_1P.318_2004</w:t>
      </w:r>
    </w:p>
    <w:p>
      <w:r>
        <w:t>FR: TF 1P.318/2004 du 5 juillet 2004</w:t>
      </w:r>
    </w:p>
    <w:p>
      <w:r>
        <w:t>IT: TF 1P.318/2004 del 5 luglio 2004</w:t>
      </w:r>
    </w:p>
    <w:p>
      <w:pPr>
        <w:pStyle w:val="Heading2"/>
      </w:pPr>
      <w:r>
        <w:t>Erwägungen</w:t>
      </w:r>
    </w:p>
    <w:p>
      <w:r>
        <w:rPr>
          <w:b/>
        </w:rPr>
        <w:t>E. 1</w:t>
      </w:r>
    </w:p>
    <w:p>
      <w:r>
        <w:t>Le prononcé par lequel l'autorité ordonne la saisie conservatoire d'une somme d'argent est une décision incidente de nature à causer un préjudice juridique irréparable; elle peut donc, au regard de l' art. 87 al. 2 OJ , être contestée par la voie du recours de droit public sans attendre la décision finale ( ATF 128 I 129 consid. 1 p. 130; 126 I 97 consid. 1b p. 130).</w:t>
      </w:r>
    </w:p>
    <w:p>
      <w:r>
        <w:rPr>
          <w:b/>
        </w:rPr>
        <w:t>E. 2</w:t>
      </w:r>
    </w:p>
    <w:p>
      <w:r>
        <w:t>La succursale de O.________ Inc., inscrite au registre du commerce de Genève, est un établissement dépourvu de personnalité juridique propre ( ATF 120 III 11 consid. 1a p. 13); par conséquent, elle est aussi dépourvue de la capacité d'être partie à une procédure judiciaire. Le recours est ainsi irrecevable en tant qu'il est formé au nom de la succursale.</w:t>
      </w:r>
    </w:p>
    <w:p>
      <w:r>
        <w:rPr>
          <w:b/>
        </w:rPr>
        <w:t>E. 3</w:t>
      </w:r>
    </w:p>
    <w:p>
      <w:r>
        <w:t>Dès la déclaration de faillite du 12 décembre 2002 et sous réserve des droits de tiers, la somme consignée depuis mars 2002 par O.________ Inc. a fait partie de la masse à liquider pour la satisfaction des créanciers ( art. 197 al. 1 LP ; ATF 107 III 53 consid. 4e p. 59/60). La faillie a alors perdu tout pouvoir de disposition sur ce bien ( art. 204 al. 1 LP ) et elle était désormais privée de la capacité d'ester en justice nécessaire pour pouvoir contester utilement la saisie ordonnée par le Juge d'instruction. En effet, ladite capacité appartenait exclusivement à l'administration de la faillite ( art. 240 LP ; ATF 121 III 28 consid. 3 p. 30/31).</w:t>
      </w:r>
    </w:p>
    <w:p>
      <w:r>
        <w:t>La situation créée par la suspension de la faillite faute d'actifs, intervenue le 7 octobre 2003, est douteuse. En dépit des affirmations développées dans l'acte de recours, on ignore si l'existence du bien précité était alors connue. Dans la négative, sa découverte pourrait entraîner une réouverture de la procédure de faillite (Urs Lustenberger, Kommentar zum Bundesgesetz über Schuldbetreibung und Konkurs, Bâle 1998, ch. 12 ad art. 230 LP ; ATF 53 III 187 p. 193) et le bien appartiendrait actuellement encore à la masse, avec cette conséquence que, vraisemblablement, la faillie ne serait toujours pas habilitée à recourir elle-même contre la saisie conservatoire. Il n'est cependant pas nécessaire d'élucider ce point car la décision attaquée échappe, de toute manière, aux griefs du recours.</w:t>
      </w:r>
    </w:p>
    <w:p>
      <w:r>
        <w:rPr>
          <w:b/>
        </w:rPr>
        <w:t>E. 4</w:t>
      </w:r>
    </w:p>
    <w:p>
      <w:r>
        <w:t>Selon la jurisprudence, la saisie d'un bien à titre de produit d'une infraction, au cours d'une enquête pénale, est compatible avec l' art. 9 Cst. lorsque cette mesure est prévue par le droit de procédure applicable, que l'origine délictueuse du bien est soupçonnée sur la base d'indices suffisants et qu'il devra vraisemblablement, dans la suite du procès, être restitué au lésé ou confisqué conformément à l' art. 59 CP ( ATF 126 I 97 consid. 3b p. 104/105, consid. 3d/aa p. 107).</w:t>
      </w:r>
    </w:p>
    <w:p>
      <w:r>
        <w:t>O.________ Inc. ne conteste pas son implication dans les activités de A.________. Elle affirme que celui-ci n'a commis aucune infraction et elle tient la poursuite pénale pour dépourvue de toute justification, mais le Tribunal fédéral a déjà constaté, dans un litige relatif à la détention préventive, qu'il existe des indices pertinents de culpabilité (arrêt 1P.32/2004 du 12 février 2004, consid. 3). Le Tribunal fédéral a également constaté que la destination des fonds que l'on suppose détournés est très difficile à élucider et que cette tâche nécessite l'analyse de très nombreux documents comptables (arrêt 1P.740/2003 du 15 décembre 2003, consid. 3). Dans ces conditions, la saisie conservatoire des valeurs que l'inculpé détient encore, directement ou par l'intermédiaire des personnes morales dont il est l'organe, échappe à toute critique; au contraire, il se justifie de maintenir ces valeurs à la disposition des autorités judiciaires jusqu'à l'issue de l'enquête pénale ou, si un doute subsiste, jusqu'au jugement. C'est en vain que l'auteur du recours insiste sur les conséquences des saisies ordonnées par le Juge d'instruction, qui l'entravent dans la gestion des affaires confiées par ses clients.</w:t>
      </w:r>
    </w:p>
    <w:p>
      <w:r>
        <w:rPr>
          <w:b/>
        </w:rPr>
        <w:t>E. 5</w:t>
      </w:r>
    </w:p>
    <w:p>
      <w:r>
        <w:t>Outre l' art. 9 Cst. , l'acte de recours mentionne divers principes ou garanties constitutionnels qui ne sont pas pertinents dans la présente contestation. Bien que la saisie conservatoire comporte une atteinte au droit de propriété, la garantie correspondante ( art. 26 al. 1 Cst. ) n'est pas invoquée; il est toutefois manifeste que cette atteinte est admissible aussi au regard de cette garantie-ci ( ATF 128 I 129 consid. 3.1.3 p. 133). Le recours doit ainsi être rejeté, dans la mesure où il est recevable.</w:t>
      </w:r>
    </w:p>
    <w:p>
      <w:r>
        <w:rPr>
          <w:b/>
        </w:rPr>
        <w:t>E. 6</w:t>
      </w:r>
    </w:p>
    <w:p>
      <w:r>
        <w:t>Même dans le cas exceptionnel où une personne morale peut éventuellement bénéficier de l'assistance judiciaire prévue par l' art. 152 OJ ( ATF 119 Ia 337 consid. 4c-d p. 339), cette disposition exige que la procédure entreprise devant le Tribunal fédéral ne soit pas d'emblée vouée à l'échec. Le recours de droit public était manifestement dépourvu de chances de succès, de sorte que la demande d'assistance judiciaire doit être rejetée pour ce motif déjà.</w:t>
      </w:r>
    </w:p>
    <w:p>
      <w:r>
        <w:t>Le Tribunal fédéral percevra l'émolument judiciaire,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