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1P.317/2003 vom 10. Juni 2003</w:t>
      </w:r>
    </w:p>
    <w:p>
      <w:r>
        <w:t>Bundesgericht, 2003-06-10, DE</w:t>
      </w:r>
    </w:p>
    <w:p>
      <w:r>
        <w:rPr>
          <w:b/>
        </w:rPr>
        <w:t xml:space="preserve">Quelle: </w:t>
      </w:r>
      <w:r>
        <w:t>https://mcp.opencaselaw.ch/entscheid/bger_1P.317_2003</w:t>
      </w:r>
    </w:p>
    <w:p>
      <w:r>
        <w:t>FR: TF 1P.317/2003 du 10 juin 2003</w:t>
      </w:r>
    </w:p>
    <w:p>
      <w:r>
        <w:t>IT: TF 1P.317/2003 del 10 giugno 2003</w:t>
      </w:r>
    </w:p>
    <w:p>
      <w:pPr>
        <w:pStyle w:val="Heading2"/>
      </w:pPr>
      <w:r>
        <w:t>Erwägungen</w:t>
      </w:r>
    </w:p>
    <w:p>
      <w:r>
        <w:rPr>
          <w:b/>
        </w:rPr>
        <w:t>E. 1</w:t>
      </w:r>
    </w:p>
    <w:p>
      <w:r>
        <w:t>Im staatsrechtlichen Beschwerdeverfahren prüft das Bundesgericht nur klar und detailliert erhobene Rügen (Rügeprinzip), welche soweit möglich zu belegen sind ( Art. 90 Abs. 1 lit. b OG ). Auf ungenügend begründete Rügen und rein appellatorische Kritik am angefochtenen Entscheid tritt das Bundesgericht nicht ein ( BGE 127 I 38 E. 3c S. 43; 117 Ia 393 E. 1c S. 395, je mit Hinweisen).</w:t>
      </w:r>
    </w:p>
    <w:p>
      <w:r>
        <w:t>Die vorliegende Beschwerde genügt den genannten Begründungsanforderungen nicht. Auf die Vorbringen des Beschwerdeführers kann namentlich nicht eingetreten werden, weil er in seiner Eingabe überwiegend appellatorische Kritik am Verhalten der kommunalen und kantonalen Behörden übt und nicht aufzeigt, inwiefern der angefochtene Entscheid verfassungsmässige Rechte missachtet.</w:t>
      </w:r>
    </w:p>
    <w:p>
      <w:r>
        <w:rPr>
          <w:b/>
        </w:rPr>
        <w:t>E. 2</w:t>
      </w:r>
    </w:p>
    <w:p>
      <w:r>
        <w:t>Demnach ergibt sich, dass auf die vorliegende Beschwerde nicht eingetreten werden kann. Die Kosten des bundesgerichtlichen Verfahrens sind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