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1P.306/2006 vom 11. Oktober 2006</w:t>
      </w:r>
    </w:p>
    <w:p>
      <w:r>
        <w:t>Bundesgericht, 2006-10-11, FR</w:t>
      </w:r>
    </w:p>
    <w:p>
      <w:r>
        <w:rPr>
          <w:b/>
        </w:rPr>
        <w:t xml:space="preserve">Quelle: </w:t>
      </w:r>
      <w:r>
        <w:t>https://mcp.opencaselaw.ch/entscheid/bger_1P.306_2006</w:t>
      </w:r>
    </w:p>
    <w:p>
      <w:r>
        <w:t>FR: TF 1P.306/2006 du 11 octobre 2006</w:t>
      </w:r>
    </w:p>
    <w:p>
      <w:r>
        <w:t>IT: TF 1P.306/2006 del 11 ottobre 2006</w:t>
      </w:r>
    </w:p>
    <w:p>
      <w:pPr>
        <w:pStyle w:val="Heading2"/>
      </w:pPr>
      <w:r>
        <w:t>Erwägungen</w:t>
      </w:r>
    </w:p>
    <w:p>
      <w:r>
        <w:rPr>
          <w:b/>
        </w:rPr>
        <w:t>E. 1</w:t>
      </w:r>
    </w:p>
    <w:p>
      <w:r>
        <w:t>Le Tribunal fédéral examine d'office et librement la recevabilité des recours qui lui sont soumis ( ATF 132 III 291 consid. 1 p. 292; 131 II 571 consid. 1 p. 573; 130 I 312 consid. 1 p. 317 et les arrêts cités).</w:t>
      </w:r>
    </w:p>
    <w:p>
      <w:r>
        <w:t>Le recours de droit public est formé contre un arrêt final rendu en dernière instance cantonale (art. 84 al. 1 et 86 al. 1 OJ). L'acte sur lequel porte la contestation est un projet de construction de route, qui peut être assimilé à un plan d'affectation au sens du droit fédéral de l'aménagement du territoire; il inclut aussi une autorisation de construire au sens de l' art. 22 LAT (cf. arrêt 1A.200/2004 du 7 janvier 2005 consid. 1.1). Or il résulte de l' art. 34 al. 3 LAT que seule la voie du recours de droit public est en principe ouverte, devant le Tribunal fédéral, contre une décision prise en dernière instance cantonale à ce sujet. Pour le surplus, les moyens soulevés ont trait exclusivement à la violation de droits constitutionnels et à l'application arbitraire du droit cantonal, si bien qu'ils ne peuvent être présentés que dans un recours de droit public ( art. 84 al. 2 Cst. ). En tant que propriétaire touché par l'emprise d'une réfection de route, le recourant a un intérêt évident à l'annulation de l'acte attaqué ( art. 88 OJ ). Les autres conditions de recevabilité étant réunies, il convient d'entrer en matière.</w:t>
      </w:r>
    </w:p>
    <w:p>
      <w:r>
        <w:rPr>
          <w:b/>
        </w:rPr>
        <w:t>E. 2</w:t>
      </w:r>
    </w:p>
    <w:p>
      <w:r>
        <w:t>Dans un grief d'ordre formel qu'il convient d'examiner en premier lieu, le recourant se plaint de la violation de son droit d'être entendu ( art. 29 al. 2 Cst. ). Il reproche au Tribunal administratif d'avoir omis d'examiner la variante 1 et de n'avoir pas suffisamment motivé le rejet de la variante 2.</w:t>
      </w:r>
    </w:p>
    <w:p>
      <w:r>
        <w:rPr>
          <w:b/>
        </w:rPr>
        <w:t>E. 2.1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2.2</w:t>
      </w:r>
    </w:p>
    <w:p>
      <w:r>
        <w:t>En l'espèce, le Tribunal administratif s'est exprimé sur toutes les variantes proposées par le recourant. Il a écarté la variante 1 au motif que le recourant semblait s'en être désintéressé, dès lors qu'il ne l'avait plus défendue depuis le dépôt de son recours et qu'il avait soutenu à l'audience qu'elle n'était pas suffisamment avantageuse pour lui. Le Tribunal administratif a ainsi expressément mentionné le motif pour lequel il a décidé d'écarter cette variante. Au demeurant, à la lecture du mémoire de recours du 9 mai 2005 on comprend que la variante 2 présentée par le recourant se substitue à la variante 1, de sorte qu'on ne saurait reprocher à l'autorité attaquée de n'avoir pas examiné celle-ci plus avant.</w:t>
      </w:r>
    </w:p>
    <w:p>
      <w:r>
        <w:t>Quant aux deux autres variantes, elles ont été examinées de façon approfondie dans un long considérant. L'argument du recourant selon lequel le rejet de la variante 2 n'aurait pas été suffisamment étayé - notamment quant aux questions de signalisation routière - ne résiste pas à l'examen. L'autorité cantonale a en effet étudié cette variante de façon complète et détaillée et l'a rejetée pour différents motifs qui ressortent clairement de l'arrêt querellé, notamment en raison du fait que l'espace nécessaire à la signalisation routière était insuffisant. Le recourant était donc suffisamment renseigné sur les fondements de l'arrêt attaqué et pouvait ainsi aisément exercer ses droits de recours et opposer sa propre appréciation à celle du Tribunal administratif. Il ne saurait donc se plaindre d'une violation de son droit d'être entendu, de sorte que ce grief doit être rejeté.</w:t>
      </w:r>
    </w:p>
    <w:p>
      <w:r>
        <w:rPr>
          <w:b/>
        </w:rPr>
        <w:t>E. 3</w:t>
      </w:r>
    </w:p>
    <w:p>
      <w:r>
        <w:t>Le recourant invoque également une violation de la garantie de la propriété au sens de l' art. 26 Cst. Il se plaint en outre d'arbitraire dans l'appréciation des preuves et l'établissement des faits ( art. 9 Cst. ). Ces questions étant liées dans le cas d'espèce, il convient de les examiner ensemble.</w:t>
      </w:r>
    </w:p>
    <w:p>
      <w:r>
        <w:rPr>
          <w:b/>
        </w:rPr>
        <w:t>E. 3.1</w:t>
      </w:r>
    </w:p>
    <w:p>
      <w:r>
        <w:t>Le classement de tout ou partie d'un terrain dans un plan d'affectation communal destiné au réaménagement d'une infrastructure routière représente une restriction au droit de propriété, qui n'est conforme à l' art. 26 Cst. que si elle repose sur une base légale, se justifie par un intérêt public suffisant et respecte le principe de la proportionnalité ( art. 36 Cst. ; ATF 119 la 362 consid. 3a p. 366 et les arrêts cités). En l'occurrence, le recourant ne remet pas en cause l'existence d'une base légale, mais il se plaint du fait que l'atteinte à la propriété est disproportionnée. Le principe de la proportionnalité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128 II 292 consid. 5.1 p. 297; 125 I 474 consid. 3 p. 482; 119 Ia 348 consid. 2a p. 353).</w:t>
      </w:r>
    </w:p>
    <w:p>
      <w:r>
        <w:t>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125 II 86 consid. 6 p. 98 et les arrêts cités), les constatations de fait étant examinées sous l'angle restreint de l'arbitraire ( ATF 119 Ia 362 consid. 3a p. 366).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En l'espèce, le recourant soutient en substance que les diverses variantes qu'il a présentées respectaient davantage le principe de la proportionnalité que le projet mis à l'enquête publique et il fait grief à l'autorité attaquée d'avoir écarté ces solutions alternatives sur la base d'une constatation des faits arbitraire. Comme exposé ci-dessus (cf. supra consid. 2.2), la variante 1 a été remplacée par la variante 2, de sorte qu'il y a lieu de se limiter à l'examen de cette dernière, ainsi qu'à celui de la variante dite "du rétrécissement".</w:t>
      </w:r>
    </w:p>
    <w:p>
      <w:r>
        <w:rPr>
          <w:b/>
        </w:rPr>
        <w:t>E. 3.2.1</w:t>
      </w:r>
    </w:p>
    <w:p>
      <w:r>
        <w:t>Le Tribunal administratif a constaté que le rétrécissement prévu par la variante du même nom gênerait la fluidité du trafic et poserait des problèmes de sécurité. En effet, les véhicules bloqués au passage à niveau du MOB s'accumuleraient le long de la chaussée amont dans le sens est-ouest sur quelque 35 m, empêchant ainsi le passage d'un camion dans le sens contraire. Quoi qu'en dise le recourant, cette constatation des faits n'est pas manifestement insoutenable. Elle repose en effet sur des éléments concrets et n'est pas contredite par les pièces du dossier. Par ailleurs, une éventuelle erreur quant à la qualification de la route RC 737d en "route collectrice" n'est pas déterminante, dans la mesure où le Tribunal administratif a clairement exposé les motifs pour lesquels la variante "du rétrécissement" n'était pas réalisable sur cette route, relevant en particulier, sans être contredit sur ce point, l'incompatibilité d'un rétrécissement avec la qualité de route d'approvisionnement de type IV. Pour le surplus, contrairement à ce que soutient le recourant, aucune pièce ne permet d'établir qu'une largeur de route de 4,75 m suffirait au croisement d'une voiture et d'un poids lourd, compte tenu des marges de sécurité et de mouvement.</w:t>
      </w:r>
    </w:p>
    <w:p>
      <w:r>
        <w:t>Sur la base de ces constatations dénuées d'arbitraire, la variante "du rétrécissement" ne peut pas être considérée comme une alternative valable au projet mis à l'enquête publique. En effet, dès lors qu'elle ne permet pas de satisfaire aux objectifs de sécurité et de fluidité du trafic, elle n'est pas apte à atteindre le but d'intérêt public visé par le projet en question.</w:t>
      </w:r>
    </w:p>
    <w:p>
      <w:r>
        <w:rPr>
          <w:b/>
        </w:rPr>
        <w:t>E. 3.2.2</w:t>
      </w:r>
    </w:p>
    <w:p>
      <w:r>
        <w:t>S'agissant de la variante 2, le Tribunal administratif a relevé qu'elle réduisait l'espace disponible entre la route et la ligne de chemin de fer du MOB, rendant impossible l'implantation de la signalisation routière nécessaire au niveau des profils n° 15, 16 et 17, la largeur disponible à ces endroits étant réduite respectivement à 1,05 m, 1,03 m et 1,57 mètres. Cette constatation des faits n'est pas non plus manifestement insoutenable, dans la mesure où elle se fonde sur des éléments du dossier, en relation avec les prescriptions de l'Ordonnance fédérale du 5 septembre 1979 sur la signalisation routière (OSR; RS 741.21). Le recourant ne saurait en outre reprocher à l'autorité attaquée de ne pas avoir étendu d'office l'instruction en exigeant que l'autorité communale indique au niveau de quel profil le panneau devait être posé. Il lui appartenait en effet d'invoquer ce moyen de preuve, en vertu de son devoir de collaboration à la procédure administrative; s'il ne l'a pas fait, il ne peut ensuite s'en plaindre. Au demeurant, l'autorité cantonale pouvait sans arbitraire considérer que la pose d'une signalisation doit rester possible au niveau des trois profils, afin de ne pas limiter les possibilités d'implantation. Enfin, contrairement à ce qu'affirme le recourant, il n'était pas non plus insoutenable de retenir que les 2 cm manquants en aval du profil 16 s'opposaient à la réalisation de la variante 2. En effet, dans son appréciation le Tribunal administratif s'en est tenu exclusivement aux pièces figurant au dossier, desquelles il ressort que le MOB a fixé la distance minimale nécessaire à 1 m 05, conformément à la norme VSS SN 671 520 (art. 22), ce que le recourant ne conteste pas. Par conséquent, il y a lieu de rejeter les griefs d'arbitraire dans l'appréciation des preuves et l'établissement des faits.</w:t>
      </w:r>
    </w:p>
    <w:p>
      <w:r>
        <w:t>Il découle de cette appréciation des faits dénuée d'arbitraire que la variante 2 proposée par le recourant ne permet pas de garantir la sécurité du trafic, dans la mesure où la pose de la signalisation serait contraire aux normes en vigueur qui concrétisent l'intérêt public.</w:t>
      </w:r>
    </w:p>
    <w:p>
      <w:r>
        <w:rPr>
          <w:b/>
        </w:rPr>
        <w:t>E. 3.2.3</w:t>
      </w:r>
    </w:p>
    <w:p>
      <w:r>
        <w:t>Quoi qu'il en soit, il y a lieu de relever avec l'autorité cantonale que même si les variantes proposées étaient conformes à l'intérêt public, les sacrifices imposés au recourant ne sont pas tels qu'ils commanderaient une modification du projet mis à l'enquête publique. En effet, l'emprise sur le terrain du recourant se situe à l'arrière de la parcelle et n'affecte ni la vue, ni l'ensoleillement dont il bénéficie. De plus, s'il est vrai que la présence de quelques marches pourrait rendre l'accès piétonnier légèrement plus difficile, celui-ci ne sera pas pour autant supprimé. Quant à l'accès pour véhicules, il subsiste entièrement, la création du trottoir en améliorant du reste la sécurité et la visibilité de cet accès. Ainsi, le Tribunal administratif a largement pris en considération les intérêts privés et les a mis en balance avec l'intérêt public pour finalement considérer, à juste titre, que l'atteinte subie par le recourant était mineure au regard de l'intérêt public lié à la sécurité routière et piétonnière. Mal fondé, le grief tiré de la violation de l' art 26 Cst. doit donc être rejeté.</w:t>
      </w:r>
    </w:p>
    <w:p>
      <w:r>
        <w:rPr>
          <w:b/>
        </w:rPr>
        <w:t>E. 4</w:t>
      </w:r>
    </w:p>
    <w:p>
      <w:r>
        <w:t>Il s'ensuit que le recours de droit public doit être rejeté. Le recourant, qui succombe, doit supporter un émolument judiciaire ( art. 156 al. 1 OJ ). Il n'est pas alloué de dépens à la Municipalité de Montreux, dans la mesure où une commune de plus de 10'000 habitants est réputée disposer d'une infrastructure administrative et juridique suffisante pour plaider sans l'assistance d'un mandataire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