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1P.299/2000 vom 10. April 2001</w:t>
      </w:r>
    </w:p>
    <w:p>
      <w:r>
        <w:t>Bundesgericht, 2001-04-10, DE</w:t>
      </w:r>
    </w:p>
    <w:p>
      <w:r>
        <w:rPr>
          <w:b/>
        </w:rPr>
        <w:t xml:space="preserve">Quelle: </w:t>
      </w:r>
      <w:r>
        <w:t>https://mcp.opencaselaw.ch/entscheid/bger_1P.299_2000</w:t>
      </w:r>
    </w:p>
    <w:p>
      <w:r>
        <w:t>FR: TF 1P.299/2000 du 10 avril 2001</w:t>
      </w:r>
    </w:p>
    <w:p>
      <w:r>
        <w:t>IT: TF 1P.299/2000 del 10 aprile 2001</w:t>
      </w:r>
    </w:p>
    <w:p>
      <w:pPr>
        <w:pStyle w:val="Heading2"/>
      </w:pPr>
      <w:r>
        <w:t>Regeste</w:t>
      </w:r>
    </w:p>
    <w:p>
      <w:r>
        <w:t>Öffentliches Dienstverhältnis</w:t>
      </w:r>
    </w:p>
    <w:p>
      <w:pPr>
        <w:pStyle w:val="Heading2"/>
      </w:pPr>
      <w:r>
        <w:t>Erwägungen</w:t>
      </w:r>
    </w:p>
    <w:p>
      <w:r>
        <w:rPr>
          <w:b/>
        </w:rPr>
        <w:t>E. 1</w:t>
      </w:r>
    </w:p>
    <w:p>
      <w:r>
        <w:t>a) Wird ein generell-abstrakter Erlass mit staatsrechtlicher Beschwerde angefochten, so beginnt die 30-tägige Beschwerdefrist nach Art. 89 OG - vorbehältlich eines kantonalen Rechtsmittels - mit der nach kantonalem Recht massgebenden Veröffentlichung ( BGE 125 II 440 E. 1b S. 442, 119 Ia 123 E. 1a S. 126, mit Hinweisen). In Bezug auf die Veröffentlichung der angefochtenen Teilrevision der Personalverordnung am 22. Dezember 2000 erweist sich die Beschwerde vom 15. Mai 2000 als verfrüht. Dies schadet indessen nach der Rechtsprechung den Beschwerdeführern nicht ( BGE 125 II 440 E. 1b S. 442, 117 Ia 328 E. 1a S. 330, 109 Ia 61 E. 1c S. 65, mit Hinweisen). Die Beschwerde erweist sich daher als rechtzeitig. b) Die Beschwerdeführer machen mit ihrer staatsrechtlichen Beschwerde einerseits eine Verletzung des Gewaltenteilungsgrundsatzes und andererseits eine Missachtung der politischen Rechte geltend. Diese beiden Rügen und ihre Prozessvoraussetzungen sind getrennt voneinander zu behandeln.</w:t>
      </w:r>
    </w:p>
    <w:p>
      <w:r>
        <w:rPr>
          <w:b/>
        </w:rPr>
        <w:t>E. 2</w:t>
      </w:r>
    </w:p>
    <w:p>
      <w:r>
        <w:t>Staatsverträge und Konkordate;</w:t>
      </w:r>
    </w:p>
    <w:p>
      <w:r>
        <w:rPr>
          <w:b/>
        </w:rPr>
        <w:t>E. 3</w:t>
      </w:r>
    </w:p>
    <w:p>
      <w:r>
        <w:t>Gesetze; a) organische Gesetze, bürgerliche und Strafgesetze mit Einschluss derjenigen über das gerichtliche Verfahren in Zivilsachen, sowie in Kriminal- und Strafpolizeisachen; b) Verwaltungsgesetze, insbesondere im Steuer-, Schul-, Strassen-, Forst-, Jagd-, Fischerei-, im Gesundheits- und Armenwesen, sowie in anderen Gebieten der Verwaltung und Volkswirtschaft; 4.diejenigen Bestimmungen kantonaler Ausführungsverordnungen zu Bundesgesetzen, welche nicht notwendige Folge der letztern sind, und ihrer Natur nach im Sinne vorstehender Ziffer 3 in das Gebiet der Volksgesetzgebung fallen;</w:t>
      </w:r>
    </w:p>
    <w:p>
      <w:r>
        <w:rPr>
          <w:b/>
        </w:rPr>
        <w:t>E. 5</w:t>
      </w:r>
    </w:p>
    <w:p>
      <w:r>
        <w:t>Demnach ist die staatsrechtliche Beschwerde abzuweisen, soweit darauf eingetreten werden kann. Bei diesem Ausgang des Verfahrens und in Anbetracht des Umstandes, dass der Rüge der Verletzung der politischen Rechte nur untergeordnete Bedeutung zukommt, sind die bundesgerichtlichen Kosten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