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1P.298/2006 vom 1. September 2006</w:t>
      </w:r>
    </w:p>
    <w:p>
      <w:r>
        <w:t>Bundesgericht, 2006-09-01, DE</w:t>
      </w:r>
    </w:p>
    <w:p>
      <w:r>
        <w:rPr>
          <w:b/>
        </w:rPr>
        <w:t xml:space="preserve">Quelle: </w:t>
      </w:r>
      <w:r>
        <w:t>https://mcp.opencaselaw.ch/entscheid/bger_1P.298_2006</w:t>
      </w:r>
    </w:p>
    <w:p>
      <w:r>
        <w:t>FR: TF 1P.298/2006 du 1 septembre 2006</w:t>
      </w:r>
    </w:p>
    <w:p>
      <w:r>
        <w:t>IT: TF 1P.298/2006 del 1 settembre 2006</w:t>
      </w:r>
    </w:p>
    <w:p>
      <w:pPr>
        <w:pStyle w:val="Heading2"/>
      </w:pPr>
      <w:r>
        <w:t>Erwägungen</w:t>
      </w:r>
    </w:p>
    <w:p>
      <w:r>
        <w:rPr>
          <w:b/>
        </w:rPr>
        <w:t>E. 1</w:t>
      </w:r>
    </w:p>
    <w:p>
      <w:r>
        <w:t>Im kantonalen Verfahren wird sowohl vom Bezirksamt als auch vom Obergericht im Rubrum Y.________ als Partei aufgeführt; aus den Erwägungen ergibt sich indessen, dass beide Instanzen davon ausgehen, dass Y.________ für den Verein X.________ handelte. So erwog das Bezirksamt, Y.________ habe als Vertreter des Vereins X.________ Strafanzeige erstattet, und das Obergericht führt im angefochtenen Entscheid aus, auf Grund einer Meldung von Y.________, Präsident des Vereins X.________, sei eine unangemeldete Kontrolle der Tierhaltung des beanzeigten Landwirts erfolgt. Unterscheiden somit die kantonalen Instanzen nicht sauber zwischen Y.________ und dem Verein X.________, wäre es überspitzt formalistisch, auf die vom Verein X.________ erhobene staatsrechtliche Beschwerde mit der Begründung nicht einzutreten, im kantonalen Verfahren werde Y.________, nicht der Verein X.________, als Partei aufgeführt. Die übrigen Sachurteilsvoraussetzungen geben zu keinen Bemerkungen Anlass, sodass auf die Beschwerde, unter Vorbehalt gehörig begründeter Rügen ( Art. 90 Abs. 1 lit. b OG ; BGE 127 I 38 E. 3c ; 125 I 492 E. 1b ; 122 I 70 E. 1c), einzutreten ist.</w:t>
      </w:r>
    </w:p>
    <w:p>
      <w:r>
        <w:rPr>
          <w:b/>
        </w:rPr>
        <w:t>E. 2</w:t>
      </w:r>
    </w:p>
    <w:p>
      <w:r>
        <w:t>Der Beschwerdeführer bringt vor, er habe auf Grund der Art. 6 und 10 EMRK sowie von Art. 17 und 30 Abs. 3 BV einen Anspruch darauf, eine Kopie des Strafbefehls des Bezirksamts Baden vom 3. Januar 2006 zugestellt zu erhalten. Das Bezirksamt habe die von ihm geltend gemachte Rechtsgrundlage mit keinem Wort gewürdigt und sich auf untergeordnetes kantonales Recht berufen; dadurch habe es seinen Anspruch auf rechtliches Gehör verletzt.</w:t>
      </w:r>
    </w:p>
    <w:p>
      <w:r>
        <w:rPr>
          <w:b/>
        </w:rPr>
        <w:t>E. 2.1</w:t>
      </w:r>
    </w:p>
    <w:p>
      <w:r>
        <w:t>Die staatsrechtliche Beschwerde ist ausschliesslich gegen letztinstanzliche kantonale Entscheide zulässig ( Art. 86 Abs. 1 OG ). Auf die vom Beschwerdeführer gegen die erste kantonale Instanz - das Bezirksamt Baden - erhobene Gehörsverweigerungsrüge ist daher nicht einzutreten.</w:t>
      </w:r>
    </w:p>
    <w:p>
      <w:r>
        <w:rPr>
          <w:b/>
        </w:rPr>
        <w:t>E. 2.2</w:t>
      </w:r>
    </w:p>
    <w:p>
      <w:r>
        <w:t>Nach Art. 30 Abs. 3 BV gilt der Grundsatz der öffentlichen Urteilsverkündung für alle gerichtlichen Verfahren, nach Art. 6 Ziff. 1 EMRK und Art. 14 Abs. 1 UNO-Pakt II , von hier nicht zutreffenden Ausnahmen abgesehen, für alle Entscheide über strafrechtliche Anklagen und damit auch für solche, die in einem (abgekürzten) Strafbefehlsverfahren ergangen sind. Dem Anspruch wird Genüge getan, wenn das Urteil bei einer der Öffentlichkeit zugänglichen Kanzlei aufgelegt wird, wo jedermann, der ein berechtigtes Interesse glaubhaft machen kann, den vollständigen Text des Urteils einsehen oder sich gegen eine allfällige Gebühr eine Kopie erstellen lassen kann; weitergehende Ansprüche - insbesondere auf Zustellung einer Kopie - bestehen dagegen, gestützt auf die genannten Bestimmungen, nicht ( BGE 124 IV 234 mit Hinweisen).</w:t>
      </w:r>
    </w:p>
    <w:p>
      <w:r>
        <w:rPr>
          <w:b/>
        </w:rPr>
        <w:t>E. 2.2.1</w:t>
      </w:r>
    </w:p>
    <w:p>
      <w:r>
        <w:t>Die Rüge ist somit insoweit unbegründet, als der Beschwerdeführer die Zustellung einer Kopie des Strafbefehls verlangt. Die angeführten verfassungs- und konventionsrechtlichen Garantien verpflichten die Gerichte nach der dargestellten Rechtsprechung nicht, den Strafanzeigern Strafbefehlskopien zuzustellen. Was der Beschwerdeführer dagegen vorbringt, ist nicht geeignet, diese Praxis in Frage zu stellen. Entgegen seiner Auffassung ist es den Berechtigten durchaus zuzumuten, Strafbefehle persönlich auf der Gerichtskanzlei einzusehen. Im Falle eines gerichtlichen Verfahrens mit mündlicher Urteilsverkündigung, die den Unwägbarkeiten des Verfahrensgangs entsprechend früher oder später erfolgt, müsste er unter Umständen einen erheblich grösseren Zeitaufwand einrechnen und sich gegebenenfalls mehr als einmal zum Gericht begeben, um sicher zu sein, der Urteilsverkündigung beiwohnen zu können.</w:t>
      </w:r>
    </w:p>
    <w:p>
      <w:r>
        <w:rPr>
          <w:b/>
        </w:rPr>
        <w:t>E. 2.2.2</w:t>
      </w:r>
    </w:p>
    <w:p>
      <w:r>
        <w:t>Begründet ist die Rüge indessen insoweit, als der Beschwerdeführer vorbringt, das Obergericht habe ihm zu Unrecht untersagt, sich vom Strafbefehl eine Kopie erstellen zu lassen. Nach dem verfassungsrechtlichen Grundsatz der öffentlichen Urteilsverkündung ist dieses Recht Bestandteil des Rechts, Einsicht in den Strafbefehl nehmen zu können. Sollte der Beschwerdeführer mit diesem Strafbefehl Missbrauch treiben, wie die kantonalen Behörden befürchten, wird er gegebenenfalls die entsprechenden zivil- und strafrechtlichen Konsequenzen zu tragen haben.</w:t>
      </w:r>
    </w:p>
    <w:p>
      <w:r>
        <w:rPr>
          <w:b/>
        </w:rPr>
        <w:t>E. 2.3</w:t>
      </w:r>
    </w:p>
    <w:p>
      <w:r>
        <w:t>Es ist nicht ersichtlich und wird vom Beschwerdeführer auch nicht in einer den gesetzlichen Anforderungen genügenden Weise dargetan, inwiefern er aus der Medienfreiheit von Art. 17 BV oder der Meinungsäusserungsfreiheit von Art. 10 EMRK weitere, über die Garantien von Art. 30 Abs. 3 BV , Art. 6 Ziff. 1 EMRK und Art. 14 Ziff. 1 UNO-Pakt II hinausgehenden Ansprüche ableiten könnte. Darauf ist nicht einzutreten ( Art. 90 Abs. 1 lit. b OG ).</w:t>
      </w:r>
    </w:p>
    <w:p>
      <w:r>
        <w:rPr>
          <w:b/>
        </w:rPr>
        <w:t>E. 3</w:t>
      </w:r>
    </w:p>
    <w:p>
      <w:r>
        <w:t>Die Beschwerde ist somit, soweit darauf einzutreten ist, teilweise gutzuheissen und der angefochtene Entscheid aufzuheben. Das Obergericht wird bei seinem neuen Entscheid anzuordnen haben, dass der Beschwerdeführer den fraglichen Strafbefehl beim Bezirksamt einsehen und sich davon, allenfalls gegen eine Gebühr, eine Kopie anfertigen lassen kann. Bei diesem Ausgang des Verfahrens ist dem Beschwerdeführer eine reduzierte Gerichtsgebühr aufzuerlegen ( Art. 156 OG ), und der Kanton Aargau hat dem Beschwerdeführer eine reduzierte Entschädigung zu bezahlen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