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1P.294/2003 vom 29. Juli 2003</w:t>
      </w:r>
    </w:p>
    <w:p>
      <w:r>
        <w:t>Bundesgericht, 2003-07-29, FR</w:t>
      </w:r>
    </w:p>
    <w:p>
      <w:r>
        <w:rPr>
          <w:b/>
        </w:rPr>
        <w:t xml:space="preserve">Quelle: </w:t>
      </w:r>
      <w:r>
        <w:t>https://mcp.opencaselaw.ch/entscheid/bger_1P.294_2003</w:t>
      </w:r>
    </w:p>
    <w:p>
      <w:r>
        <w:t>FR: TF 1P.294/2003 du 29 juillet 2003</w:t>
      </w:r>
    </w:p>
    <w:p>
      <w:r>
        <w:t>IT: TF 1P.294/2003 del 29 luglio 2003</w:t>
      </w:r>
    </w:p>
    <w:p>
      <w:pPr>
        <w:pStyle w:val="Heading2"/>
      </w:pPr>
      <w:r>
        <w:t>Regeste</w:t>
      </w:r>
    </w:p>
    <w:p>
      <w:r>
        <w:t>Aménagement du territoire et droit public des constructions</w:t>
      </w:r>
    </w:p>
    <w:p>
      <w:pPr>
        <w:pStyle w:val="Heading2"/>
      </w:pPr>
      <w:r>
        <w:t>Erwägungen</w:t>
      </w:r>
    </w:p>
    <w:p>
      <w:r>
        <w:rPr>
          <w:b/>
        </w:rPr>
        <w:t>E. 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 Un formalisme excessif, contraire à l' art. 29 al. 1 Cst. , est réalisé lorsque les règles de procédure sont appliquées avec une rigueur que ne justifie aucun intérêt digne de protection, au point que la procédure devient une fin en soi et empêche ou complique de manière insoutenable l'application du droit ( ATF 128 II 139 consid. 2a p. 142, 127 I 31 consid. 2a/bb p. 34). Il n'y a pas de rigueur ainsi prohibée lorsque, conformément au droit de procédure applicable, la recevabilité d'une requête est subordonnée au versement d'une avance de frais dans un délai déterminé; il faut cependant que le plaideur soit averti de façon appropriée du montant à verser, du délai imparti pour le versement et des conséquences de l'inobservation de ce délai ( ATF 96 I 521 ; voir aussi ATF 104 Ia 105 consid. 5 p. 111).</w:t>
      </w:r>
    </w:p>
    <w:p>
      <w:r>
        <w:rPr>
          <w:b/>
        </w:rPr>
        <w:t>E. 2</w:t>
      </w:r>
    </w:p>
    <w:p>
      <w:r>
        <w:t>La notification postale d'un acte judiciaire est régie par les conditions générales "prestations du service postal" édictées par la Poste conformément à l'art. 11 al. 1 de la loi fédérale la concernant (RS 783.0). Ces conditions générales ont la teneur suivante (édition janvier 2003, ch. 2.3.1 et 2.3.5): Les objets de correspondance recommandés, les envois avec justificatif de distribution ainsi que ceux trop grands pour être placés dans la boîte aux lettres ou dans le compartiment annexe sont délivrés conformément aux possibilités proposées par la Poste à l'entrée de la maison. ... Outre le destinataire, toutes les personnes présentes au même domicile ou au même siège des affaires ont qualité pour prendre livraison des envois. Des instructions contraires données par l'expéditeur ou le destinataire dans le cadre des possibilités proposées par la Poste sont réservées. Le recourant ne prétend pas avoir donné à la Poste des instructions particulières pour la distribution des envois à lui destinés, instructions qui n'auraient pas été respectées. Pour le surplus, on ne discerne aucun motif de mettre en doute que la Poste ait effectivement délivré le pli à l'adresse du recourant, soit au home où celui-ci est pensionnaire. Dans ces conditions, quelle que soit la personne qui a pris livraison de cet envoi et signé l'accusé de réception, le magistrat intimé ne viole pas l' art. 9 Cst. en retenant que la décision relative à l'avance de frais, qui contenait d'ailleurs toutes les indications exigibles selon l' art. 29 al. 1 Cst. , est valablement intervenue le 7 février 2003.</w:t>
      </w:r>
    </w:p>
    <w:p>
      <w:r>
        <w:rPr>
          <w:b/>
        </w:rPr>
        <w:t>E. 3</w:t>
      </w:r>
    </w:p>
    <w:p>
      <w:r>
        <w:t>Les conclusions formellement exprimées dans le recours tendent seulement à l'annulation de la décision du 8 avril 2003. Cependant, la critique qui y est développée met clairement en cause, en outre, le refus ultérieur de reconsidérer cette décision. En pareil cas, le Tribunal fédéral tient aussi compte des conclusions sous-jacentes à l'argumentation qui lui est soumise ( ATF 52 I 222 consid. 1 p. 224; 102 Ia 92 consid. 2 p. 95; arrêt du 12 mars 1980 in SJ 1981 p. 422, consid. 1a p. 425). En l'espèce, le recours doit donc être tenu pour dirigé non seulement contre la décision précitée, mais également contre celle exprimée dans les lettres du 24 avril et du 2 mai 2003. Selon les art. 114 et 115 CPC neuch., applicables devant le Tribunal administratif par renvoi de l'art. 20 de la loi neuchâteloise sur la juridiction et la procédure administratives, un délai doit être restitué lorsque le plaideur ou son mandataire justifie qu'il a été empêché d'agir en temps utile par des circonstances indépendantes de sa volonté. Il incombe au plaideur de demander la restitution dans un délai de dix jours dès celui où l'empêchement a cessé, et d'accomplir l'acte omis dans le même délai. Dans sa correspondance avec le Président du Tribunal administratif, J.________ a reconnu que le recourant avait peut-être, simplement, "oublié" de donner suite à l'acte judiciaire concernant l'avance de frais. Dans ces conditions, un réel empêchement d'agir, pertinent au regard des dispositions précitées, est douteux. Par conséquent, même en admettant que J.________ pût valablement demander la restitution du délai au nom du recourant, le refus de cette restitution échappe au grief d'arbitraire.</w:t>
      </w:r>
    </w:p>
    <w:p>
      <w:r>
        <w:rPr>
          <w:b/>
        </w:rPr>
        <w:t>E. 4</w:t>
      </w:r>
    </w:p>
    <w:p>
      <w:r>
        <w:t>Mal fondé, le recours doit être rejeté; l'émolument judiciaire incombe à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