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1P.285/2002 vom 17. Juni 2002</w:t>
      </w:r>
    </w:p>
    <w:p>
      <w:r>
        <w:t>Bundesgericht, 2002-06-17, DE</w:t>
      </w:r>
    </w:p>
    <w:p>
      <w:r>
        <w:rPr>
          <w:b/>
        </w:rPr>
        <w:t xml:space="preserve">Quelle: </w:t>
      </w:r>
      <w:r>
        <w:t>https://mcp.opencaselaw.ch/entscheid/bger_1P.285_2002</w:t>
      </w:r>
    </w:p>
    <w:p>
      <w:r>
        <w:t>FR: TF 1P.285/2002 du 17 juin 2002</w:t>
      </w:r>
    </w:p>
    <w:p>
      <w:r>
        <w:t>IT: TF 1P.285/2002 del 17 giugno 2002</w:t>
      </w:r>
    </w:p>
    <w:p>
      <w:pPr>
        <w:pStyle w:val="Heading2"/>
      </w:pPr>
      <w:r>
        <w:t>Regeste</w:t>
      </w:r>
    </w:p>
    <w:p>
      <w:r>
        <w:t>Grundrecht</w:t>
      </w:r>
    </w:p>
    <w:p>
      <w:pPr>
        <w:pStyle w:val="Heading2"/>
      </w:pPr>
      <w:r>
        <w:t>Erwägungen</w:t>
      </w:r>
    </w:p>
    <w:p>
      <w:r>
        <w:rPr>
          <w:b/>
        </w:rPr>
        <w:t>E. 1</w:t>
      </w:r>
    </w:p>
    <w:p>
      <w:r>
        <w:t>X.________ führt gegen den Kanton St. Gallen einen Verantwortlichkeitsprozess. Er verlangt Schadenersatz und Genugtuung wegen Pflichtverletzungen seiner Vormünder und wegen Gesundheitsschädigung durch widerrechtlichen Vollzug der Untersuchungshaft. Das Bezirksgericht St. Gallen wies die Klage mit Urteil vom 30. November 2001 ab, weil einerseits zunächst die Vormünder zu belangen seien und andererseits die Klage bezüglich der in Haft erlittenen Gesundheitsschädigung verwirkt sei. Dagegen erklärte X.________ Berufung und ersuchte um unentgeltliche Prozessführung.</w:t>
      </w:r>
    </w:p>
    <w:p>
      <w:r>
        <w:rPr>
          <w:b/>
        </w:rPr>
        <w:t>E. 2</w:t>
      </w:r>
    </w:p>
    <w:p>
      <w:r>
        <w:t>Der Präsident der III. Zivilkammer des Kantonsgerichts St. Gallen wies mit Entscheid vom 24. April 2002 das Gesuch um unentgeltliche Prozessführung ab und forderte X.________ mit Hinweis auf die Säumnisfolgen zur Leistung eines Kostenvorschusses auf. Zur Begründung führte er aus, die Berufung erweise sich in jeder Hinsicht als aussichtslos, weshalb das Gesuch abzuweisen sei.</w:t>
      </w:r>
    </w:p>
    <w:p>
      <w:r>
        <w:rPr>
          <w:b/>
        </w:rPr>
        <w:t>E. 3</w:t>
      </w:r>
    </w:p>
    <w:p>
      <w:r>
        <w:t>X.________ führt gegen den Entscheid des Präsidenten der III. Zivilkammer des Kantonsgerichts St. Gallen mit Eingabe vom 16. Mai 2002 staatsrechtliche Beschwerde. Das Bundesgericht verzichtet auf die Einholung von Vernehmlassungen.</w:t>
      </w:r>
    </w:p>
    <w:p>
      <w:r>
        <w:rPr>
          <w:b/>
        </w:rPr>
        <w:t>E. 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Auf ungenügend begründete Rügen und rein appellatorische Kritik am angefochtenen Entscheid tritt es nicht ein ( BGE 125 I 492 E. 1b). Diesen Anforderungen vermag die Eingabe vom 16. Mai 2002 nicht zu genügen. Der Beschwerdeführer legt nicht rechtsgenüglich dar, inwiefern der Präsident der III. Zivilkammer des Kantonsgerichts verfassungswidrig gehandelt haben sollte, als er das Gesuch um unentgeltliche Rechtspflege infolge Aussichtslosigkeit der Berufung abwies. Weiter ergibt sich aus der Beschwerde nicht, inwiefern gegen den Präsidenten der III. Zivilkammer ein Ausstandsgrund vorliegen sollte. Mangels einer genügenden Begründung ist demnach auf die Beschwerde nicht einzutreten.</w:t>
      </w:r>
    </w:p>
    <w:p>
      <w:r>
        <w:rPr>
          <w:b/>
        </w:rPr>
        <w:t>E. 5</w:t>
      </w:r>
    </w:p>
    <w:p>
      <w:r>
        <w:t>Angesichts der offensichtlichen Aussichtslosigkeit der vorliegenden Beschwerde kann dem Gesuch um unentgeltliche Rechtspflege unter Beiordnung eines Rechtsbeistandes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