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1P.283/2006 vom 4. August 2006</w:t>
      </w:r>
    </w:p>
    <w:p>
      <w:r>
        <w:t>Bundesgericht, 2006-08-04, FR</w:t>
      </w:r>
    </w:p>
    <w:p>
      <w:r>
        <w:rPr>
          <w:b/>
        </w:rPr>
        <w:t xml:space="preserve">Quelle: </w:t>
      </w:r>
      <w:r>
        <w:t>https://mcp.opencaselaw.ch/entscheid/bger_1P.283_2006</w:t>
      </w:r>
    </w:p>
    <w:p>
      <w:r>
        <w:t>FR: TF 1P.283/2006 du 4 août 2006</w:t>
      </w:r>
    </w:p>
    <w:p>
      <w:r>
        <w:t>IT: TF 1P.283/2006 del 4 agosto 2006</w:t>
      </w:r>
    </w:p>
    <w:p>
      <w:pPr>
        <w:pStyle w:val="Heading2"/>
      </w:pPr>
      <w:r>
        <w:t>Regeste</w:t>
      </w:r>
    </w:p>
    <w:p>
      <w:r>
        <w:t>procédure pénale, appréciation des preuves | Procédure</w:t>
      </w:r>
    </w:p>
    <w:p>
      <w:pPr>
        <w:pStyle w:val="Heading2"/>
      </w:pPr>
      <w:r>
        <w:t>Erwägungen</w:t>
      </w:r>
    </w:p>
    <w:p>
      <w:r>
        <w:rPr>
          <w:b/>
        </w:rPr>
        <w:t>E. 1</w:t>
      </w:r>
    </w:p>
    <w:p>
      <w:r>
        <w:t>Formé en temps utile contre une décision finale prise en dernière instance cantonale, qui ne peut être attaquée que par la voie du recours de droit public en raison des griefs invoqués et qui touche le recourant dans ses intérêts juridiquement protégés, le recours est recevable au regard des art. 84 ss OJ . Aucune des exceptions à la nature cassatoire du recours de droit public n'étant réunie, les conclusions qui vont au-delà de la simple annulation de l'arrêt attaqué sont en revanche inadmissibles ( ATF 132 III 291 consid. 1.5; 131 I 291 consid. 1.4; 131 III 334 consid. 6 p. 343).</w:t>
      </w:r>
    </w:p>
    <w:p>
      <w:r>
        <w:rPr>
          <w:b/>
        </w:rPr>
        <w:t>E. 2</w:t>
      </w:r>
    </w:p>
    <w:p>
      <w:r>
        <w:t>Le recourant se plaint de ce que les autorités cantonales auraient arbitrairement fixé les heures déterminantes pour le calcul de son alcoolémie au moment de l'accident. Il se plaint également d'une violation du principe in dubio pro reo à cet égard. Il fait en particulier valoir que l'heure de l'accident mentionnée sur le rapport de police n'est pas correcte et qu'il aurait fallu retenir celle indiquée sur l'ordre de prélèvement et d'analyse, laquelle est plus en adéquation avec les déclarations des témoins. Les calculs opérés par l'Institut seraient donc erronés.</w:t>
      </w:r>
    </w:p>
    <w:p>
      <w:r>
        <w:rPr>
          <w:b/>
        </w:rPr>
        <w:t>E. 2.1</w:t>
      </w:r>
    </w:p>
    <w:p>
      <w:r>
        <w:t>L'appréciation des preuves est en particulier arbitraire lorsque le juge n'a manifestement pas compris le sens et la portée d'un moyen de preuve ou si, sur la base des éléments recueillis, il a fait des déductions insoutenables ( ATF 129 I 8 consid. 2.1 p. 9). Il ne suffit pas qu'une interprétation différente des preuves et des faits qui en découlent paraisse également concevable, sans quoi le principe de la libre appréciation des preuves par le juge du fond serait violé ( ATF 120 Ia 31 consid. 2d p. 37 s.). Par ailleurs, il faut que la décision attaquée soit insoutenable non seulement dans ses motifs, mais également dans son résultat ( ATF 131 I 57 consid. 2 p. 61 et la jurisprudence citée), ce qu'il appartient au recourant de démontrer en vertu de l' art. 90 al. 1 let. b OJ ( ATF 131 I 217 consid. 2.1 p. 219 et la jurisprudence citée).</w:t>
      </w:r>
    </w:p>
    <w:p>
      <w:r>
        <w:rPr>
          <w:b/>
        </w:rPr>
        <w:t>E. 2.2</w:t>
      </w:r>
    </w:p>
    <w:p>
      <w:r>
        <w:t>La présomption d'innocence est garantie par les art. 6 par. 2 CEDH et 32 al. 1 Cst., qui ont la même portée. Elle a pour corollaire le principe in dubio pro reo, qui concerne tant le fardeau de la preuve que l'appréciation des preuves. En tant que règle de l'appréciation des preuves, ce principe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37/38).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la question (cf. arrêts non publiés 1P.454/2005 du 9 novembre 2005, consid. 2.1, 1P.428/2003 du 8 avril 2004, consid. 4.2, et 1P.587/2003 du 29 janvier 2004, consid. 7.2). En l'espèce, bien qu'aussi alléguée, une violation du principe de la présomption d'innocence invoqué comme règle sur le fardeau de la preuve n'est pas établie par le recourant, qui ne démontre pas qu'il aurait été condamné pour ne pas avoir apporté la preuve de son innocence. Son argumentation tend en réalité exclusivement à faire admettre une appréciation arbitraire des preuves par les juges cantonaux, qui les aurait conduits à dénier l'existence de doutes sérieux quant à sa culpabilité. La violation du principe invoqué ne peut donc être examinée que sous ce dernier angle.</w:t>
      </w:r>
    </w:p>
    <w:p>
      <w:r>
        <w:rPr>
          <w:b/>
        </w:rPr>
        <w:t>E. 2.3</w:t>
      </w:r>
    </w:p>
    <w:p>
      <w:r>
        <w:t>Selon le rapport de police, l'accident s'est produit à 4h10. Le principe de l'appréciation libre des preuves interdit d'attribuer d'entrée de cause une force probante accrue à certains moyens de preuve, comme par exemple des rapports de police. Cela ne signifie pas pour autant, en application de la maxime in dubio pro reo, qu'en présence de moyens de preuve contradictoires, le Tribunal doive automatiquement privilégier les plus favorables pour le prévenu (Niklaus Schmid, Strafprozessrecht, Zurich 2004, n° 290 et 296, p. 97 et 100). En l'espèce, l'ordre de prélèvement et d'analyse mentionne certes que l'accident s'est produit à 4h30. Or ce document a été établi par un policier qui n'était pas présent sur les lieux, contrairement aux auteurs du rapport de police. Qui plus est, l'ordre de prélèvement relatif à l'autre conducteur mentionne quant à lui comme heure de l'événement 4h25. Comme l'a relevé à juste titre le recourant, l'argumentation de la Cour de Justice selon laquelle ces heures correspondraient aux moments auxquels les tests ont été effectués, ne résiste pas à l'examen, puisqu'il est établi que le test au moyen de l'éthylomètre et la prise de sang ont été respectivement effectués à 5h17 et à 6h40 s'agissant du recourant et à 5h30 et 6h50 s'agissant de l'autre conducteur. Il n'en demeure pas moins que la fiabilité de ces documents est largement sujette à caution. Il n'est en effet pas concevable que les heures mentionnées puissent correspondre à l'heure de l'événement, car elles auraient, dans cette hypothèse, nécessairement été identiques pour les deux conducteurs. Il faut également relever que les heures déterminantes ont été transmises à l'Institut par l'officier de police en service qui a ordonné la prise de sang et dont le nom figure sur l'ordre de prélèvement et d'analyse. Or il a indiqué 4h10 comme heure de l'accident et non 4h30. L'heure de l'accident communiquée à l'Institut concernant l'autre conducteur est au surplus également 4h10. Les déclarations des deux témoins ne sont pas davantage de nature à faire naître des doutes sur l'heure indiquée dans le rapport de police. En effet, le témoin entendu par le Tribunal de police a déclaré avoir quitté l'établissement environ vingt minutes avant la fermeture. Cette dernière intervenant à 5h00, il aurait donc quitté la boîte de nuit à 4h40, suivi de peu par le recourant. A suivre cette déclaration, on ne voit pas comment l'accident aurait pu se produire entre 4h25 et 4h30, si le recourant avait quitté l'établissement peu après 4h40, étant précisé qu'il devait encore récupérer sa voiture à la place des Eaux-Vives. Quant au second témoin, entendu par la Chambre pénale, il a déclaré très bien se souvenir avoir quitté l'établissement à 4h30 avec le recourant. Cette déclaration doit être appréciée avec précaution, car elle intervient près d'une année et demie après les faits et émane d'un ami du recourant. Malgré cela, même si on devait lui donner du crédit, il n'est pas davantage concevable que l'accident se soit produit à 4h25-4h30, si le recourant a quitté l'établissement à 4h30, étant précisé comme précédemment qu'il devait encore aller récupérer sa voiture à la place des Eaux-Vives. Mais surtout, le recourant a lui-même déclaré à l'audience du Tribunal de police avoir quitté l'établissement aux alentours de 4h00. Il résulte de ce qui précède que les différentes contradictions mises en évidence ne sont pas de nature à faire naître des doutes quant à la fiabilité du rapport de police. Les griefs tirés d'une appréciation arbitraire des preuves et d'une violation du principe in dubio pro reo doivent dès lors être rejetés.</w:t>
      </w:r>
    </w:p>
    <w:p>
      <w:r>
        <w:rPr>
          <w:b/>
        </w:rPr>
        <w:t>E. 3</w:t>
      </w:r>
    </w:p>
    <w:p>
      <w:r>
        <w:t>Le recourant conteste également l'heure retenue pour le moment de la fin de l'ingestion de boissons alcoolisées. Ce grief n'a cependant pas été traité par la Cour de Justice et le recourant ne lui en fait pas le reproche. A défaut d'épuisement des instances cantonales sur ce point ( art. 86 OJ ), le grief est irrecevable. Pour le surplus, le recourant ne conteste pas les conclusions de l'expertise compte tenu des paramètres qui ont été pris en considération.</w:t>
      </w:r>
    </w:p>
    <w:p>
      <w:r>
        <w:rPr>
          <w:b/>
        </w:rPr>
        <w:t>E. 4</w:t>
      </w:r>
    </w:p>
    <w:p>
      <w:r>
        <w:t>Il s'ensuit que le recours de droit public doit être rejeté dans la mesure où il est recevable. Le recourant, qui succombe, doit supporter l'émolument judiciaire ( art. 153, 153a et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