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1P.27/2006 vom 12. Juli 2006</w:t>
      </w:r>
    </w:p>
    <w:p>
      <w:r>
        <w:t>Bundesgericht, 2006-07-12, FR</w:t>
      </w:r>
    </w:p>
    <w:p>
      <w:r>
        <w:rPr>
          <w:b/>
        </w:rPr>
        <w:t xml:space="preserve">Quelle: </w:t>
      </w:r>
      <w:r>
        <w:t>https://mcp.opencaselaw.ch/entscheid/bger_1P.27_2006</w:t>
      </w:r>
    </w:p>
    <w:p>
      <w:r>
        <w:t>FR: TF 1P.27/2006 du 12 juillet 2006</w:t>
      </w:r>
    </w:p>
    <w:p>
      <w:r>
        <w:t>IT: TF 1P.27/2006 del 12 luglio 2006</w:t>
      </w:r>
    </w:p>
    <w:p>
      <w:pPr>
        <w:pStyle w:val="Heading2"/>
      </w:pPr>
      <w:r>
        <w:t>Regeste</w:t>
      </w:r>
    </w:p>
    <w:p>
      <w:r>
        <w:t>procédure de permis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ATF 131 II 571 consid. 1 p. 573; 131 I 145 consid. 2 p. 147, 153 consid. 1 p. 156 et les arrêts cités).</w:t>
      </w:r>
    </w:p>
    <w:p>
      <w:r>
        <w:rPr>
          <w:b/>
        </w:rPr>
        <w:t>E. 1.1</w:t>
      </w:r>
    </w:p>
    <w:p>
      <w:r>
        <w:t>Dans le cadre de son écriture, intitulée "recours de droit public", le recourant soulève un grief relatif à la loi fédérale du 23 juin 2000 sur la libre circulation des avocats (LLCA; RS 935.61). Invoquant l' art. 12 LLCA , il se plaint du fait que l'avocat des intimés représente des parties entre lesquelles il existerait un conflit d'intérêt; il reproche à l'autorité attaquée d'avoir nié de manière insoutenable l'existence de ce conflit. Dans la mesure où la LLCA ressortit au droit public de la Confédération, ce grief devrait être soulevé par la voie du recours de droit administratif conformément aux art. 97 ss OJ , ce que le recourant demande d'ailleurs à titre subsidiaire. Dans la mesure où le recours répond aux exigences des art. 97 ss OJ , il est susceptible d'être converti à cet égard ( ATF 127 II 198 consid. 2a in fine p. 203). Il y a toutefois lieu de constater que la question soulevée est étrangère à l'objet du litige. Elle relève en effet de la procédure disciplinaire, qui est du ressort de l'autorité cantonale de surveillance des avocats ( art. 17 ss LLCA ). Le recourant n'a pas agi par cette voie et ne prétend au demeurant pas que la violation alléguée enfreindrait arbitrairement une règle cantonale de procédure applicable en l'espèce. Il n'y a donc pas lieu d'entrer en matière sur ce grief, qui doit être déclaré irrecevable.</w:t>
      </w:r>
    </w:p>
    <w:p>
      <w:r>
        <w:rPr>
          <w:b/>
        </w:rPr>
        <w:t>E. 1.2</w:t>
      </w:r>
    </w:p>
    <w:p>
      <w:r>
        <w:t>En tant qu'il confirme l'irrecevabilité des griefs formés par le recourant à l'encontre de l'autorisation de construire litigieuse, l'arrêt querellé présente un caractère final ( art. 87 OJ ). Dès lors que le recours porte uniquement sur ce point, il est recevable à cet égard.</w:t>
      </w:r>
    </w:p>
    <w:p>
      <w:r>
        <w:rPr>
          <w:b/>
        </w:rPr>
        <w:t>E. 1.3</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En l'occurrence, le recourant dénonce une application arbitraire de normes régissant la procédure de mise à l'enquête qui le protègent, au moins accessoirement, dans ses intérêts de voisin direct de la parcelle litigieuse. Pour le surplus, dès lors que le recourant se prévaut de ses droits de partie en invoquant une violation de son droit d'être entendu, il a un intérêt juridiquement protégé, au sens de l' art. 88 OJ , à obtenir l'annulation de l'arrêt attaqué.</w:t>
      </w:r>
    </w:p>
    <w:p>
      <w:r>
        <w:rPr>
          <w:b/>
        </w:rPr>
        <w:t>E. 1.4</w:t>
      </w:r>
    </w:p>
    <w:p>
      <w:r>
        <w:t>Le grief relatif à la qualité de partie du "Bureau d'architecture C.C.________ et D.C.________" doit être déclaré irrecevable, dans la mesure où le recourant n'explique pas quel droit constitutionnel serait violé à cet égard, ce qui n'est pas conforme aux exigences minimales de motivation posées par l' art. 90 al. 1 let. b OJ (cf. ATF 130 I 258 consid. 1.3 p. 261, 26 consid. 2.1 p. 31; 125 I 71 consid. 1c p. 76).</w:t>
      </w:r>
    </w:p>
    <w:p>
      <w:r>
        <w:rPr>
          <w:b/>
        </w:rPr>
        <w:t>E. 1.5</w:t>
      </w:r>
    </w:p>
    <w:p>
      <w:r>
        <w:t>Le recourant sollicite la mise en oeuvre d'une inspection locale. Cette mesure d'instruction ne se justifie cependant pas, vu la nature essentiellement procédurale des questions litigieuses.</w:t>
      </w:r>
    </w:p>
    <w:p>
      <w:r>
        <w:rPr>
          <w:b/>
        </w:rPr>
        <w:t>E. 2</w:t>
      </w:r>
    </w:p>
    <w:p>
      <w:r>
        <w:t>Dans des griefs d'ordre formel qu'il convient d'examiner en premier lieu, le recourant se plaint d'une violation de son droit d'être entendu.</w:t>
      </w:r>
    </w:p>
    <w:p>
      <w:r>
        <w:rPr>
          <w:b/>
        </w:rPr>
        <w:t>E. 2.1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Si l'intéressé peut en principe s'exprimer sur tous les points importants avant qu'une décision ne soit prise, le droit d'être entendu ne lui confère pas pour autant le droit de prendre position sur l'appréciation juridique des faits ( ATF 108 Ia 293 consid. 4c p. 295). Une exception à ce principe est toutefois admise lorsque l'autorité a l'intention de se fonder sur un motif juridique inconnu des parties et dont celles-ci ne pouvaient prévoir l'adoption ( ATF 126 I 19 consid. 2c/aa p. 22; 124 I 49 consid. 3c p. 52; 115 Ia 94 consid. 1b p. 96 s.; André Grisel, Traité de droit administratif, vol. I, Neuchâtel 1984, p. 381; Georg Müller, in Aubert et al. (éd.), Commentaire de la Constitution fédérale de la Confédération suisse du du 29 mai 1874, op. cit., n. 105 ad. art. 4). Le droit d'être entendu confère en outre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 ATF 112 Ia 107 consid. 2b p. 109; voir aussi ATF 126 I 97 consid. 2b p. 102, 125 II 369 consid. 2c p. 372,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 Le Tribunal fédéral examine librement si les exigences posées par l' art. 29 al. 2 Cst. ont été respectées ( ATF 124 I 49 consid. 3a p. 51, 122 I 153 consid. 3 p. 158 et les arrêts cités).</w:t>
      </w:r>
    </w:p>
    <w:p>
      <w:r>
        <w:rPr>
          <w:b/>
        </w:rPr>
        <w:t>E. 2.2</w:t>
      </w:r>
    </w:p>
    <w:p>
      <w:r>
        <w:t>En l'espèce, le recourant se dit surpris par le fait que l'autorité attaquée se soit référée à l'arrêt non publié 1A.51/2000 du 9 mai 2000, qui constituerait un élément de fait nouveau sur lequel elle aurait dû l'inviter à se déterminer. Dans la mesure où le recourant était partie à la cause qui a donné lieu à l'arrêt en question, on peut difficilement le suivre lorsqu'il affirme qu'il s'agit pour lui d'un "élément tout à fait nouveau". Quoi qu'il en soit, le Tribunal cantonal ne fonde pas sa décision sur cet arrêt, mais il s'y réfère seulement pour démontrer que le recourant n'en était pas à sa première opposition dans la région. Or, cet élément ressort déjà du dossier, qui établit que le recourant avait fait opposition au projet mis à l'enquête le 26 novembre 1999. La référence litigieuse n'était donc pas décisive pour l'issue de la cause, de sorte que l'autorité attaquée n'a pas violé le droit d'être entendu du recourant en ne l'invitant pas à se déterminer sur ce point. Le recourant reproche également au Tribunal cantonal d'avoir omis de statuer sur des griefs qu'il avait valablement soulevés, concernant le défaut d'indication de dérogations dans la mise à l'enquête ainsi que la nullité absolue de l'autorisation de construire litigieuse. Ces critiques doivent être rejetées, ne serait-ce qu'en raison du fait que l'autorité attaquée s'est prononcée sur ces moyens, certes succinctement pour le premier (arrêt attaqué, consid. 2c p. 10), mais de manière détaillée pour le second (arrêt attaqué, consid. 2d p. 10 s.). Au demeurant, le Tribunal cantonal n'était pas tenu d'examiner la question du défaut d'indication de dérogations dans la mise à l'enquête, dès lors que le recourant n'était pas recevable à invoquer ce moyen (cf. infra consid. 3.3). Il s'ensuit que les griefs tiré d'une violation du droit d'être entendu doivent être rejetés.</w:t>
      </w:r>
    </w:p>
    <w:p>
      <w:r>
        <w:rPr>
          <w:b/>
        </w:rPr>
        <w:t>E. 3</w:t>
      </w:r>
    </w:p>
    <w:p>
      <w:r>
        <w:t>Le recourant soulève divers moyens à l'encontre de la procédure ayant abouti à l'octroi de l'autorisation de construire du 5 octobre 2004. Dans la mesure où il n'a pas formé opposition lors de la mise à l'enquête du projet litigieux, le Tribunal cantonal a considéré que ces griefs étaient irrecevables. Il convient donc d'examiner en premier lieu si la procédure cantonale a été appliquée sans arbitraire à cet égard.</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 En matière d'appréciation des preuves, il y a arbitraire lorsque l'autorité ne prend pas en compte, sans raison sérieuse, un élément de preuve propre à modifier la décision ou lorsqu'elle tire des constatations insoutenables des éléments recueillis ( ATF 127 I 38 consid. 2a p. 41).</w:t>
      </w:r>
    </w:p>
    <w:p>
      <w:r>
        <w:rPr>
          <w:b/>
        </w:rPr>
        <w:t>E. 3.2</w:t>
      </w:r>
    </w:p>
    <w:p>
      <w:r>
        <w:t>Aux termes de l'art. 44 al. 2 de la loi cantonale sur la procédure et la juridiction administratives (LPJA; RS/VS 172.6), n'a pas qualité pour recourir celui qui a négligé d'agir devant une instance inférieure alors qu'il en avait la possibilité. Cette règle est applicable à la procédure de recours devant le Tribunal cantonal, en vertu du renvoi de l'art. 80 al. 1 let. a LPJA. En matière de droit des constructions, les personnes qui se trouvent lésées dans leurs propres intérêts dignes de protection par le projet soumis à l'enquête publique peuvent faire opposition, dans un délai de dix jours à partir de la date de la publication dans le Bulletin officiel (art. 40 let. a et 41 al. 1 de la loi cantonale sur les constructions [LC; RS/VS 705.1]). Selon la jurisprudence cantonale, une autorisation de construire délivrée au terme de cette procédure d'enquête publique ne peut plus être remise en cause, du moins lorsque les plans étaient suffisamment explicites et que l'avis d'enquête publique contenait les éléments objectivement nécessaires (RVJ 1980 consid. 2.1 p. 5; 1990 consid. 2a p. 40). Le contenu de cet avis est réglé par l'art. 37 LC, aux termes duquel la publication doit contenir le nom du requérant et de l'auteur du projet (let. a), la désignation exacte de la parcelle (numéro, plan et nom local), les coordonnées de la carte topographique, le nom du propriétaire et la nature du projet (let. b), l'affectation de la zone et l'indication des dispositions spéciales relatives à la construction pour les plans d'aménagement détaillés ou les plans de quartier (let. c), l'indication que le projet comporte des dérogations par rapport à la législation en vigueur, notamment à l' art. 24 LAT (let. d) et l'indication du lieu et de la date du dépôt du dossier et de la possibilité de faire opposition avec mention du délai d'opposition (let. e).</w:t>
      </w:r>
    </w:p>
    <w:p>
      <w:r>
        <w:rPr>
          <w:b/>
        </w:rPr>
        <w:t>E. 3.3</w:t>
      </w:r>
    </w:p>
    <w:p>
      <w:r>
        <w:t>En l'occurrence, l'avis de mise à l'enquête publique paru au Bulletin officiel du 7 juin 2002 avait la teneur suivante: "M. B.________ par le bureau d'architecture C.C.________ et D.C.________ S.A., Verbier, pour la construction d'un chalet résidentiel sur la parcelle No 3792, folio 12, zone touristique T4, au lieu dit La Tinte-Dabonné à Verbier. Coordonnées 584.400/105.100". Le recourant relève à cet égard que le nom du propriétaire n'était pas mentionné et que l'indication "La Tinte-Dabonné" était trompeuse, dès lors que la parcelle litigieuse se situe au lieu-dit "Dabonné" et qu'elle est distante de plusieurs centaines de mètres du lieu-dit "La Tinte". De plus, les dérogations au règlement communal concernant la densité n'étaient pas mentionnées. On ne saurait considérer que de telles irrégularités ont induit le recourant en erreur au point de l'empêcher de faire opposition lors de la mise à l'enquête publique. En effet, le lieu d'implantation du projet était reconnaissable, dès lors que le numéro de la parcelle et les coordonnées topographiques étaient mentionnés. A cet égard, peu importe que l'indication "La Tinte-Dabonné" ne soit pas exacte; le fait que la parcelle litigieuse se situe au lieu-dit "Dabonné", en bordure du torrent "La Tinte", était suffisant pour retenir l'attention du recourant, dont les parcelles se trouvent à proximité immédiate. De plus, s'il est vrai que C.C.________ et D.C.________ n'étaient pas désignés expressément en qualité de propriétaires, leur nom figurait bien sur l'avis de mise à l'enquête. En outre, l'absence d'indication de la dérogation aux règles sur la densité n'était pas de nature à empêcher le recourant de faire opposition, dans la mesure où cet élément était décelable à la consultation du dossier de mise à l'enquête, ce que démontrent d'ailleurs les diverses écritures du recourant. Enfin, il y a lieu de relever que les avis de mise à l'enquête des projets de 1999 et 2004 étaient formulés de manière similaire, sauf en ce qui concerne l'indication du lieu-dit, ce qui n'a pas empêché le recourant de faire opposition dans le délai et d'invoquer notamment des dérogations aux règles sur la densité. Dans ces conditions, le Tribunal cantonal pouvait retenir que le recourant avait la possibilité de faire opposition lors de la mise à l'enquête publique et c'est sans arbitraire qu'il a confirmé l'irrecevabilité des moyens relatifs à l'autorisation de construire du 5 octobre 2004. Les griefs soulevés à cet égard sont donc rejetés, sans qu'il y ait lieu d'entrer en matière sur les critiques visant l'autorisation en question.</w:t>
      </w:r>
    </w:p>
    <w:p>
      <w:r>
        <w:rPr>
          <w:b/>
        </w:rPr>
        <w:t>E. 4</w:t>
      </w:r>
    </w:p>
    <w:p>
      <w:r>
        <w:t>Il convient néanmoins d'examiner l'allégation du recourant selon laquelle certaines informalités seraient constitutives de motifs de nullité absolue de l'autorisation de construire. La nullité absolue peut en effet être invoquée en tout temps et devant toute autorité et elle doit être constatée d'office ( ATF 116 Ia 215 consid. 2a p. 217; 115 Ia 1 consid. 3 p. 4 et les arrêts cités).</w:t>
      </w:r>
    </w:p>
    <w:p>
      <w:r>
        <w:rPr>
          <w:b/>
        </w:rPr>
        <w:t>E. 4.1</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procédures, ainsi que l'incompétence de qualifiée de l'autorité qui a rendu la décision sont des motifs de nullité ( ATF 122 I 97 consid. 3aa p. 99; 116 Ia 215 consid. 2c p. 219 s. et la jurisprudence citée).</w:t>
      </w:r>
    </w:p>
    <w:p>
      <w:r>
        <w:rPr>
          <w:b/>
        </w:rPr>
        <w:t>E. 4.2</w:t>
      </w:r>
    </w:p>
    <w:p>
      <w:r>
        <w:t>En l'occurrence, l'autorisation de construire litigieuse a bien été délivrée par l'autorité compétente. Le recourant allègue toutefois, en substance, que la demande d'autorisation de construire n'était pas signée, qu'elle aurait été annulée par le nouveau projet déposé par E.________ pour la même parcelle et que C.C.________ et D.C.________ n'avaient pas le pouvoir de représenter B.________. Il ne s'agit à l'évidence pas de vices particulièrement graves au sens de la jurisprudence précitée. Il ne se justifie donc pas de constater la nullité de la décision litigieuse, le système d'annulation offrant au demeurant une protection suffisante à cet égard.</w:t>
      </w:r>
    </w:p>
    <w:p>
      <w:r>
        <w:rPr>
          <w:b/>
        </w:rPr>
        <w:t>E. 5</w:t>
      </w:r>
    </w:p>
    <w:p>
      <w:r>
        <w:t>Il s'ensuit que le recours de droit public doit être rejeté, dans la mesure où il est recevable. Le recourant, qui succombe, doit supporter les frais de la présente procédure ( art. 153, 153a et 156 al. 1 OJ ). Les intimés, qui se sont déterminés, ont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