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1P.268/2000 vom 3. April 2001</w:t>
      </w:r>
    </w:p>
    <w:p>
      <w:r>
        <w:t>Bundesgericht, 2001-04-03, DE</w:t>
      </w:r>
    </w:p>
    <w:p>
      <w:r>
        <w:rPr>
          <w:b/>
        </w:rPr>
        <w:t xml:space="preserve">Quelle: </w:t>
      </w:r>
      <w:r>
        <w:t>https://mcp.opencaselaw.ch/entscheid/bger_1P.268_2000</w:t>
      </w:r>
    </w:p>
    <w:p>
      <w:r>
        <w:t>FR: TF 1P.268/2000 du 3 avril 2001</w:t>
      </w:r>
    </w:p>
    <w:p>
      <w:r>
        <w:t>IT: TF 1P.268/2000 del 3 aprile 2001</w:t>
      </w:r>
    </w:p>
    <w:p>
      <w:pPr>
        <w:pStyle w:val="Heading2"/>
      </w:pPr>
      <w:r>
        <w:t>Regeste</w:t>
      </w:r>
    </w:p>
    <w:p>
      <w:r>
        <w:t>Bürgerrecht und Ausländerrecht</w:t>
      </w:r>
    </w:p>
    <w:p>
      <w:pPr>
        <w:pStyle w:val="Heading2"/>
      </w:pPr>
      <w:r>
        <w:t>Erwägungen</w:t>
      </w:r>
    </w:p>
    <w:p>
      <w:r>
        <w:rPr>
          <w:b/>
        </w:rPr>
        <w:t>E. 1</w:t>
      </w:r>
    </w:p>
    <w:p>
      <w:r>
        <w:t>a) Gemäss Art. 86 Abs. 1 OG ist die staatsrechtliche Beschwerde nur gegen letztinstanzliche kantonale Entscheide zulässig. Der Regierungsrat des Kantons Luzern hat am 26. September 2000 entschieden, dass im vorliegenden Fall die Gemeindebeschwerde an den Regierungsrat statthaft ist. Mit der Gemeindebeschwerde können u.a. die unrichtige oder unvollständige Feststellung des Sachverhalts und die unrichtige Rechtsanwendung gerügt werden, einschliesslich Überschreitung und Missbrauch des Ermessens (§ 91 Abs. 4 des Gemeindegesetzes vom 9. Oktober 1962 [GG/LU]). Es handelt sich somit um ein Rechtsmittel, das die Überprüfung der von den Beschwerdeführern erhobenen Rügen ermöglicht und gegebenenfalls zur Beseitigung der als verfassungswidrig beanstandeten Entscheide führen kann. b) Ausnahmsweise verzichtet das Bundesgericht auf das Erfordernis der Erschöpfung des kantonalen Instanzentzuges, wenn zum Zeitpunkt der Beschwerdeerhebung ernsthafte Zweifel an der Zulässigkeit eines kantonalen Rechtsmittels bestehen ( BGE 116 Ia 442 E. 1a S. 444 mit Hinweis). Eine derartige Ausnahme darf jedoch nicht leichthin angenommen werden, denn der Grundsatz der relativen Subsidiarität bezweckt nicht nur die Entlastung des Bundesgerichts, sondern dient auch der Schonung der kantonalen Souveränität ( BGE 114 Ia 263 E. 2c S. 266). Im vorliegenden Fall haben die Beschwerdeführer selbst vorsorglich Gemeindebeschwerde an den Regierungsrat des Kantons Luzern erhoben. Der Regierungsrat ist nach dem bundesgerichtlichen Entscheid vom 6. März 2001 aus Gründen des Vertrauensschutzes verpflichtet, die Beschwerde als rechtzeitig erhoben zu betrachten und - sofern auch die übrigen Sachurteilsvoraussetzungen vorliegen - darauf einzutreten. Unter diesen Umständen ist dem Regierungsrat Gelegenheit zu geben, allfällige Verstösse gegen Verfassungs- und Staatsvertragsrecht selbst zu beheben, bevor das Bundesgericht korrigierend eingreift (Walter Kälin, Staatsrechtliche Beschwerde, 2. Auflage, S. 327).</w:t>
      </w:r>
    </w:p>
    <w:p>
      <w:r>
        <w:rPr>
          <w:b/>
        </w:rPr>
        <w:t>E. 2</w:t>
      </w:r>
    </w:p>
    <w:p>
      <w:r>
        <w:t>Nach dem Gesagten ist auf die staatsrechtliche Beschwerde nicht einzutreten. Bei diesem Ausgang des Verfahrens werden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