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1P.264/2000 vom 30. August 2000</w:t>
      </w:r>
    </w:p>
    <w:p>
      <w:r>
        <w:t>Bundesgericht, 2000-08-30, DE</w:t>
      </w:r>
    </w:p>
    <w:p>
      <w:r>
        <w:rPr>
          <w:b/>
        </w:rPr>
        <w:t xml:space="preserve">Quelle: </w:t>
      </w:r>
      <w:r>
        <w:t>https://mcp.opencaselaw.ch/entscheid/bger_1P.264_2000</w:t>
      </w:r>
    </w:p>
    <w:p>
      <w:r>
        <w:t>FR: TF 1P.264/2000 du 30 août 2000</w:t>
      </w:r>
    </w:p>
    <w:p>
      <w:r>
        <w:t>IT: TF 1P.264/2000 del 30 agosto 2000</w:t>
      </w:r>
    </w:p>
    <w:p>
      <w:pPr>
        <w:pStyle w:val="Heading2"/>
      </w:pPr>
      <w:r>
        <w:t>Regeste</w:t>
      </w:r>
    </w:p>
    <w:p>
      <w:r>
        <w:t>Raumplanung und öffentliches Baurecht</w:t>
      </w:r>
    </w:p>
    <w:p>
      <w:pPr>
        <w:pStyle w:val="Heading2"/>
      </w:pPr>
      <w:r>
        <w:t>Erwägungen</w:t>
      </w:r>
    </w:p>
    <w:p>
      <w:r>
        <w:rPr>
          <w:b/>
        </w:rPr>
        <w:t>E. 1</w:t>
      </w:r>
    </w:p>
    <w:p>
      <w:r>
        <w:t>a) Der angefochtene Teilentscheid führt zu einer Beendigung des kantonalen Verfahrens. Somit handelt es sich um einen kantonalen Endentscheid. Da er auf kantonalem Verfahrensrecht beruht, kann er mit staatsrechtlicher Beschwerde angefochten werden ( Art. 84, 86 und 87 OG ). b) Die Beschwerdeführer fechten einen durch die obere Rechtsmittelbehörde gefällten Entscheid an, auf ihre seinerzeitige Baubeschwerde nicht einzutreten. Unabhängig von ihrer Legitimation in der Sache haben sie das von Art. 88 OG geforderte rechtlich geschützte Interesse an der Behandlung der Rüge, wonach auf ein kantonales Rechtsmittel fälschlicherweise nicht eingetreten worden sei ( BGE 121 II 171 E. 1 S. 173; 118 Ia 488 E. 2 S. 492, je mit Hinweisen). c) Der angefochtene Entscheid enthält zwei Begründungen. Einerseits sei die kantonale Beschwerde an das Baudepartement verspätet gewesen. Andererseits seien die Voraussetzungen für eine Wiederherstellung der Beschwerdefrist nicht gegeben gewesen. Beruht ein mit staatsrechtlicher Beschwerde anfechtbarer Entscheid auf mehreren, voneinander unabhängigen Begründungen, so muss sich die Beschwerde mit jeder von ihnen auseinander setzen und dartun, dass der Entscheid nach jeder dieser Begründungen verfassungswidrig ist. Tut sie dies nicht, so fehlt es an der Voraussetzung einer hinreichenden Begründung im Sinne von Art. 90 Abs. 1 lit. b OG und das Bundesgericht tritt daher auf die Beschwerde nicht ein ( BGE 113 Ia 94 E. 1a/bb S. 95 f.; 105 Ib 221 E. 2c S. 224, je mit Hinweisen). Die Beschwerdeführer setzen sich nicht mit den Erwägungen des Obergerichts auseinander, warum eine Wiederherstellung der Rechtsmittelfrist unzulässig gewesen sei. Diese Erwägungen stellen jedoch keine (zweite) Begründung für den angefochtenen Entscheid dar, wonach das Rechtsmittel verspätet eingereicht worden sei. Im Gegenteil stellt sich die Frage einer Wiederherstellung der Frist nur, wenn das Verwaltungsgericht zu Recht angenommen hat, diese sei verpasst worden. Daher genügt es, dass die Beschwerdeführer substanziieren, warum letztere Annahme verfassungswidrig sei. Wenn sie dies jedoch nicht ist, ist die Beschwerde abzuweisen, ohne dass das Bundesgericht - mangels entsprechender Rüge - zu prüfen hätte, ob die Voraussetzungen für eine Wiederherstellung der Frist gegeben waren.</w:t>
      </w:r>
    </w:p>
    <w:p>
      <w:r>
        <w:rPr>
          <w:b/>
        </w:rPr>
        <w:t>E. 2</w:t>
      </w:r>
    </w:p>
    <w:p>
      <w:r>
        <w:t>Die Beschwerdeführer kritisieren zunächst die Annahme des Verwaltungsgerichts, wonach die Rechtsmittelfrist gegen den gemeinderätlichen Entscheid am siebten Tag der ihrem damaligen Anwalt gesetzten Abholfrist zu laufen begonnen habe und nicht erst am Ende der von der Post gesetzten Abholfrist. Sie rügen, dies sei überspitzt formalistisch. a) aa) Die Grundsätze, nach denen eine eingeschriebene Sendung als zugestellt gilt, wenn das kantonale Recht diese Frage - wie im Kanton Aargau - nicht regelt, werden von den Beschwerdeführern grundsätzlich anerkannt und richtig wiedergegeben. Wird der Adressat anlässlich einer versuchten Zustellung nicht angetroffen und daher eine Abholeinladung in seinen Briefkasten oder sein Postfach gelegt, so gilt nach der bundesgerichtlichen Rechtsprechung die Sendung in jenem Zeitpunkt als zugestellt, in welchem sie auf der Post abgeholt wird; geschieht das nicht innert der Abholfrist, die sieben Tage beträgt, so gilt die Sendung als am letzten Tag dieser Frist zugestellt, sofern der Adressat mit der Zustellung hatte rechnen müssen ( BGE 123 III 492 E. 1 S. 493; 119 V 89 E. 4b S. 94 mit Hinweisen). Die siebentägige Frist war früher in Art. 169 Abs. 1 lit. d und e der Verordnung 1 vom 1. September 1967 zum Postverkehrsgesetz (AS 1967 S. 1462) vorgesehen. Diese Verordnung ist mit Art. 13 lit. a der Postverordnung vom 29. Oktober 1997 (VPG; SR 783. 01) aufgehoben worden. Die siebentägige Frist ist jetzt als Grundsatz, von dem abweichende Abmachungen zulässig sind, in den Allgemeinen Geschäftsbedingungen der Post vorgesehen und damit allgemein bekannt. Sie bleibt nach der Rechtsprechung auf die Frage, wann eine Sendung als zugestellt gilt, anwendbar (vgl. unveröffentlichter Entscheid des Bundesgerichts vom 5. Mai 1998 i.S. F. E. 1a). Die für den vorliegenden Fall entscheidende Frage, wann die Zustellung als erfolgt gilt, wenn der Postbote eine andere als die siebentägige Frist auf die Abholeinladung schreibt, wurde bisher soweit ersichtlich noch nicht entschieden. bb) Das aus Art. 29 Abs. 1 BV (früher aus Art. 4 aBV ) fliessende Verbot des überspitzten Formalismus wendet sich gegen prozessuale Formenstrenge, die als exzessiv erscheint, durch kein schutzwürdiges Interesse gerechtfertigt ist, zum blossen Selbstzweck wird und die Verwirklichung des materiellen Rechts in unhaltbarer Weise erschwert oder gar verhindert. Das Bundesgericht prüft frei, ob eine solche Rechtsverweigerung vorliegt ( BGE 125 I 166 E. 3a S. 170 mit Hinweisen). b) Die von der Praxis festgelegte Zustellfiktion betrifft Fälle, in denen eine Sendung innerhalb der siebentägigen Abholfrist nicht abgeholt wurde. Die Zustellfiktion betrifft nicht die von der Post eigentlich durch die genannte Frist geregelte Frage, wie lange eine Sendung abgeholt werden kann, sondern orientiert sich an dieser Regel, um eine andere Frage zu beantworten. Die Frist bis zum Eintreten der Zustellfiktion wird nicht verlängert, wenn ein Abholen nach den anwendbaren Bestimmungen der Post auch noch länger möglich ist, etwa in Folge eines Zurückbehaltungsauftrags ( BGE 123 III 492 E. 1 S. 493 mit Hinweis). Auch andere Abmachungen mit der Post können den Eintritt der Zustellfiktion nicht hinausschieben. Bisher wurden zwar nur Fälle entschieden, in denen der Postkunde für die Verlängerung der Abholfrist verantwortlich war, während im vorliegenden Fall die Post spontan die Abholfrist verlängerte. Es ist jedoch nicht überspitzt formalistisch, auch im letzteren Fall die Zustellfiktion unabhängig von der postalischen Abholfrist eintreten zu lassen. Die beiden Fristen dienen, obwohl die eine historisch auf die andere zurückgeht und regelmässig mit ihr übereinstimmt, wie eingangs erwähnt verschiedenen Zwecken. Für die Festlegung des Zeitpunkts der Zustellfiktion ist eine klare, einfache und vor allem einheitliche Regelung notwendig ( BGE 123 III 492 E. 1 S. 493 f. mit Hinweis). Dies ist auch für die verfügenden Behörden, allfällige Gegenparteien und die Rechtsmittelbehörden wichtig. Gerade weil die Post heute unternehmerische Freiheit geniesst und ihre Mitarbeiter nicht mehr wie Beamte direkt an die Grundsätze staatlichen Handelns gebunden sind, darf sich der Eintritt der Zustellfiktion nicht an kundenfreundlichen oder irrtümlichen Anpassungen der Abholfrist im Einzelfall orientieren. In diesem Umfeld ist es nicht überspitzt formalistisch, die Zustellfiktion - unabhängig von der konkreten durch die Post gewährten Abholfrist - immer sieben Tage nach dem erfolglosen Zustellversuch eintreten zu lassen. Dies muss auch dann gelten, wenn der letzte Tag der siebentägigen Frist auf einen Samstag oder einen anerkannten Feiertag fällt. Am siebten Tag endet normalerweise die Abholfrist; auf Grund der Zustellfiktion markiert dieser Tag zugleich den Beginn der Rechtsmittelfrist; für deren Berechnung spielt es keine Rolle, ob sie an einem Werktag oder an einem Samstag bzw. einem anerkannten Feiertag beginnt (vgl. im Übrigen zur Berechnung und Einhaltung von Fristen ganz allgemein Art. 32 OG ). Der Zeitpunkt der Zustellfiktion ist auch immer erkennbar, da die sieben Tage mit dem erfolglosen Zustellversuch beginnen, dessen Datum auf der Abholeinladung erscheint (vgl. dazu im vorliegenden Fall immerhin hinten E. 3b/cc).</w:t>
      </w:r>
    </w:p>
    <w:p>
      <w:r>
        <w:rPr>
          <w:b/>
        </w:rPr>
        <w:t>E. 3</w:t>
      </w:r>
    </w:p>
    <w:p>
      <w:r>
        <w:t>Die Beschwerdeführer rügen weiter, es verstosse gegen das verfassungsmässige Gebot des Vertrauensschutzes, die Zustellfiktion nach sieben Tagen eintreten zu lassen, wenn die Post von sich aus eine längere Abholfrist gewähre. Dies insbesondere, wenn diese Abholfrist nicht offensichtlich zu lange sei. a) Das in Art. 9 BV verankerte Recht auf Vertrauensschutz bewirkt unter anderem, dass eine (selbst unrichtige) Zusicherung einer Behörde unter bestimmten Umständen eine vom materiellen Recht abweichende Behandlung des Rechtsuchenden gebietet. Zu den Voraussetzungen dafür gehört unter anderem: (1) dass die Amtsstelle für die Erteilung der Zusicherung zuständig war oder der Bürger sie aus zureichenden Gründen als zuständig betrachten durfte und (2) dass die anfragende Person die Unrichtigkeit bei pflichtgemässer Aufmerksamkeit nicht ohne weiteres erkennen konnte (vgl. BGE 121 II 473 E. 2c S. 479; 118 Ia 245 E. 4b S. 254, je mit Hinweisen). b) aa) Wenn die Behörden die Post für die Zustellung von Entscheiden benutzen, müssen sie sich Zusicherungen eines Abholeinladungen ausfüllenden Mitarbeiters der Post zurechnen lassen, soweit dieser Zusicherungen zur Abholfrist gibt. Ob es im vorliegenden Fall für einen Anwalt ohne weiteres erkennbar war, dass die Abholfrist gegenüber der in den Allgemeinen Geschäftsbedingungen der Post vorgesehenen verlängert worden war, braucht in diesem Zusammenhang nicht entschieden zu werden, weil die Zusicherung, die Sendung bis zum 23. Februar 1998 abholen zu können, eingehalten wurde. Da jedoch (wie vorne in E. 2b erwogen) die Frage, wann die Zustellfiktion eintritt, unabhängig von derjenigen zu beantworten ist, bis wann die Sendung abgeholt werden kann, fehlt es in der hier entscheidenden Frage schon an einer Zusicherung der Post. Im Übrigen ist der Mitarbeiter der Post auch nicht zur Zusicherung von Rechtsmittelfristen zuständig. bb) Es fragt sich noch, ob im vorliegenden Fall das Auseinanderklaffen des Datums der Zustellfiktion einerseits und des letzten Tages der Abholfrist andererseits für den Empfänger tatsächlich erkennbar war. Wenn nicht, müssten die Behörden auch das durch eine von der Post festgelegte Abholfrist hervorgerufene Vertrauen in ein späteres Datum der Zustellfiktion schützen. Das Auseinanderklaffen war hier jedoch erkennbar. Zumindest der Beginn der Abholmöglichkeit war auf der Abholeinladung klar angegeben. Von einem Anwalt kann angesichts der Jahrzehnte alten diesbezüglichen Praxis (vgl. schon BGE 97 III 7 E. 1 S. 10) erwartet werden, dass er weiss, dass die Zustellfiktion nach einer siebentägigen Frist eintritt. Es ist auch ohne weiteres erkennbar und zu berechnen, wie lange eine siebentägige Frist dauert. cc) Gegen Letzteres könnte im vorliegenden Fall immerhin eingewandt werden, das Datum des erfolglosen, die Frist auslösenden Zustellversuchs sei nicht klar aus der Abholeinladung hervorgegangen. Die auf dieser vom Postboten unter der Rubrik "Datum der Vorweisung" gemachte Eintragung kann als "18. 2.98" gelesen werden. In der Beschwerde wird dies beiläufig erwähnt. Es ist jedoch fraglich, ob die Beschwerdeführer damit behaupten, sie hätten auf den 18. Februar 1998 als Datum des die siebentägige Frist auslösenden Zustellversuchs vertraut. Selbst wenn diese Rüge vorgebracht und in der von Art. 90 Abs. 1 lit. b OG geforderten Weise substanziiert worden wäre, könnte sie jedenfalls nicht zu einer Gutheissung der Beschwerde gestützt auf den Vertrauensschutz führen. Für die Bestimmung des Datums des Zustellversuchs muss auf die Angaben auf der Abholeinladung abgestellt werden. Die Beschwerdeführer haben jedoch im kantonalen Verfahren anerkannt, dass der Zustellversuch am 13. Februar 1998 erfolgte. Sie führen auch in ihrer staatsrechtlichen Beschwerde aus, der Postbote hätte die siebentägige Frist "mit dem Tag der erfolglosen Zustellung, also dem 13. Februar" beginnen lassen müssen. Ausserdem bezeichnet die Abholeinladung eindeutig den 14. Februar 1998 als Beginn der Abholmöglichkeit. Diese kann bestimmungsgemäss nicht vor dem erfolglosen Zustellversuch beginnen. Die kantonale Beschwerde wäre daher verspätet gewesen, auch wenn man wegen der unklaren Angaben über das Datum des Zustellversuchs zu Gunsten der Beschwerdeführer davon ausgehen würde, der die Frist auslösende Zustellversuch sei erst am 14. Februar 1998 erfolgt. Die siebentägige Frist hätte diesfalls am 21. Februar 1998 und die 20-tägige Rechtsmittelfrist am 13. März 1998 geendet (vgl. Art. 32 Abs. 1 OG ). Die Beschwerdeführer haben ihre Verwaltungsbeschwerde an das Baudepartement jedoch erst am 16. März 1998 der Post übergeben, also in jedem Fall zu spät eingereicht. dd) Aus dem verfassungsrechtlichen Vertrauensschutz ergibt sich somit nicht, dass die Beschwerde gegen die gemeinderätliche Baubewilligung als rechtzeitig erhoben angesehen werden musste.</w:t>
      </w:r>
    </w:p>
    <w:p>
      <w:r>
        <w:rPr>
          <w:b/>
        </w:rPr>
        <w:t>E. 4</w:t>
      </w:r>
    </w:p>
    <w:p>
      <w:r>
        <w:t>Zusammenfassend ergibt sich, dass die Beschwerde abzuweisen ist. Bei diesem Ausgang des Verfahrens haben die Beschwerdeführer die Kosten des bundesgerichtlichen Verfahrens zu tragen ( Art. 156 Abs. 1 und Abs. 7 OG ). Sie sind darüber hinaus unter solidarischer Haftbarkeit zu verpflichten, die privaten Beschwerdegegner für das bundesgerichtliche Verfahren angemessen zu entschädigen ( Art. 159 Abs. 1, 2 und 5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