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1P.256/2000 vom 12. Mai 2000</w:t>
      </w:r>
    </w:p>
    <w:p>
      <w:r>
        <w:t>Bundesgericht, 2000-05-12, DE</w:t>
      </w:r>
    </w:p>
    <w:p>
      <w:r>
        <w:rPr>
          <w:b/>
        </w:rPr>
        <w:t xml:space="preserve">Quelle: </w:t>
      </w:r>
      <w:r>
        <w:t>https://mcp.opencaselaw.ch/entscheid/bger_1P.256_2000</w:t>
      </w:r>
    </w:p>
    <w:p>
      <w:r>
        <w:t>FR: TF 1P.256/2000 du 12 mai 2000</w:t>
      </w:r>
    </w:p>
    <w:p>
      <w:r>
        <w:t>IT: TF 1P.256/2000 del 12 maggio 2000</w:t>
      </w:r>
    </w:p>
    <w:p>
      <w:pPr>
        <w:pStyle w:val="Heading2"/>
      </w:pPr>
      <w:r>
        <w:t>Regeste</w:t>
      </w:r>
    </w:p>
    <w:p>
      <w:r>
        <w:t>Strafprozess</w:t>
      </w:r>
    </w:p>
    <w:p>
      <w:pPr>
        <w:pStyle w:val="Heading2"/>
      </w:pPr>
      <w:r>
        <w:t>Erwägungen</w:t>
      </w:r>
    </w:p>
    <w:p>
      <w:r>
        <w:rPr>
          <w:b/>
        </w:rPr>
        <w:t>E. 1</w:t>
      </w:r>
    </w:p>
    <w:p>
      <w:r>
        <w:t>a) Auf die Beschwerde ist aus den gleichen Gründen einzutreten wie beim in dieser Angelegenheit am 2. Dezember 1999 ergangenen Urteil. b) Bei staatsrechtlichen Beschwerden, die gestützt auf das verfassungsmässige Recht der persönlichen Freiheit gegen die Haftanordnung erhoben werden, prüft das Bundesgericht Auslegung und Anwendung des kantonalen Rechts grundsätzlich frei ( BGE 117 Ia 72 E. 1; 114 Ia 281 E. 3). Der Willkürrüge und der Rüge der Verletzung des Verhältnismässigkeitsgrundsatzes kommen unter diesen Umständen keine selbständige Bedeutung zu, sie gehen in der Rüge der Verletzung der persönlichen Freiheit auf. Das Gleiche gilt für die Rüge der Verletzung von Art. 5 EMRK , zumal der Beschwerdeführer nicht in einer den gesetzlichen Anforderungen von Art. 90 Abs. 1 lit. b OG genügenden Weise darlegt, inwiefern er aus dieser Bestimmung weitergehende Rechte ableiten könnte als aus Art. 10 Abs. 2 BV .</w:t>
      </w:r>
    </w:p>
    <w:p>
      <w:r>
        <w:rPr>
          <w:b/>
        </w:rPr>
        <w:t>E. 2</w:t>
      </w:r>
    </w:p>
    <w:p>
      <w:r>
        <w:t>a) Nach § 67 in Verbindung mit § 58 der Strafprozessordnung des Kantons Zürich vom 4. Mai 1919 (StPO) darf Sicherheitshaft angeordnet werden, wenn der Angeklagte eines Verbrechens oder Vergehens dringend verdächtig ist und (u.a.) Fluchtgefahr oder Wiederholungsgefahr besteht. Liegt ausser dem allgemeinen Haftgrund des dringenden Tatverdachts einer der besonderen Haftgründe vor, steht einer Inhaftierung auch unter dem Gesichtswinkel der persönlichen Freiheit grundsätzlich nichts entgegen. Nicht umstritten ist, dass der allgemeine Haftgrund des dringenden Tatverdachts gegeben ist. b) 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2a; 117 Ia 69 E. 4a; 108 Ia 64 E. 3; 107 Ia 3 E. 6). c) Der Präsident des Kassationsgerichtes geht im angefochtenen Entscheid davon aus, dass der Beschwerdeführer, wenn er sich im Strafvollzug befände, nicht mit einer bedingten Entlassung nach 2 Jahren rechnen könnte, da ihm wohl keine gute Prognose im Sinne von Art. 38 Abs. 1 StGB gestellt werden könne. Damit setzt er sich stillschweigend über das vom Obergericht bei Dr. Konrad Lierow eingeholte psychiatrische Gutachten vom 24. Juli 1999 hinweg, das auf S. 24 f. zum Schluss kommt, es bestehe "keine nennenswerte Gefahr, dass der Explorand nun (weitere??) Vergewaltigungen oder sexuelle Nötigungen begeht". Der Beschwerdeführer rügt zu Recht als willkürlich, dass der Kassationsgerichtspräsident ohne jede Auseinandersetzung mit diesem Gutachten davon ausgeht, es könne ihm nicht nur keine gute Prognose im Sinne von Art. 38 Abs. 1 StGB gestellt werden, sondern es bestehe gar Wiederholungsgefahr im Sinne von § 58 Abs. 1 Ziff. 3 StPO . Ob dessen Auffassung auch im Ergebnis unhaltbar ist, steht damit allerdings nicht fest. Immerhin hat der Beschwerdeführer, jedenfalls nach der Überzeugung von Bezirks- und Obergericht, unbeeindruckt von einer ersten Verurteilung, seine geschiedene Frau vergewaltigt und sich nach seiner Entlassung aus der Untersuchungshaft erneut an ihr vergriffen. Es steht somit keinesfalls von vornherein fest, dass dem Beschwerdeführer die gute Prognose im Sinne von Art. 38 Abs. 1 StGB gestellt werden kann; diese Frage bedürfte vielmehr einer eingehenden, sorgfältigen Abklärung. Es ist unter diesen Umständen im Ergebnis nicht zu beanstanden, dass es der Kassationsgerichtspräsident aufgrund der im Haftprüfungsverfahren vorzunehmenden bloss summarischen Prüfung der Voraussetzungen von Art. 38 Abs. 1 StGB ablehnte, die gute Prognose zu bejahen und die Möglichkeit der bedingten Entlassung nach der Verbüssung von zwei Dritteln der Strafe zu berücksichtigen. Hinzu kommt, dass die Möglichkeit der bedingten Entlassung nach der Rechtsprechung des Bundesgerichts in der Regel nicht zu berücksichtigen ist. Dass die Annahme von Fluchtgefahr grundsätzlich nicht zu beanstanden ist, hat das Bundesgericht bereits im Entscheid vom 2. Dezember 1999 erkannt; daran hat sich seither nichts geändert, sodass darauf verwiesen werden kann ( Art. 36a Abs. 3 OG ). d) Es erscheint allerdings verfassungsrechtlich problematisch, dass die Länge des dreistufigen kantonalen Rechtsmittelzuges in diesem eher einfachen, keine besonderen Schwierigkeiten bietenden Strafverfahren dazu geführt hat, dass der immerhin zu drei Jahren Freiheitsentzug verurteilte Beschwerdeführer vor das Dilemma gestellt wird, ob er das von ihm erhobene Rechtsmittel zurückziehen will, um allenfalls von einer vorzeitigen Entlassung nach Art. 38 Abs. 1 StGB profitieren zu können. Diese Problematik ist mit einer entsprechend beförderlichen Verfahrensführung so weit als möglich zu entschärfen. Im vorliegenden Fall kommt die vom Beschwerdeführer bereits in Haft verbrachte Zeit der ausgesprochenen Strafe von drei Jahren, die nur bestätigt oder reduziert werden kann, immer näher, so dass - wie bereits im Urteil vom 2. Dezember 1999 angetönt - der Beschwerdeführer nur dann bis zum Endurteil des Kassationsgerichtes in Haft gehalten werden kann, wenn dieses innert kurzer Frist ergeht. Eine weitere Inhaftierung über drei Viertel der ausgesprochenen Strafe hinaus erschiene unter den gegebenen Umständen jedenfalls als unverhältnismässig und damit verfassungsrechtlich nicht haltbar.</w:t>
      </w:r>
    </w:p>
    <w:p>
      <w:r>
        <w:rPr>
          <w:b/>
        </w:rPr>
        <w:t>E. 3</w:t>
      </w:r>
    </w:p>
    <w:p>
      <w:r>
        <w:t>Zusammenfassend ist festzuhalten, dass das Kassationsgericht das Haftentlassungsgesuch des Beschwerdeführers (zur Zeit noch) ohne Verletzung der Verfassung ablehnen konnte. Die Beschwerde ist daher abzuweisen, soweit darauf einzutreten ist. Bei diesem Ausgang des Verfahrens hat der Beschwerdeführer die Kosten zu tragen ( Art. 156 Abs. 1 OG ). Er hat indessen ein Gesuch um unentgeltliche Rechtspflege gestellt, welches gutzuheissen ist, da die Beschwerde nicht von vornherein aussichtslos war und die Bedürftigkeit des Beschwerdeführers ausreichend glaubhaft gemacht ist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