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1P.253/2004 vom 20. April 2005</w:t>
      </w:r>
    </w:p>
    <w:p>
      <w:r>
        <w:t>Bundesgericht, 2005-04-20, IT</w:t>
      </w:r>
    </w:p>
    <w:p>
      <w:r>
        <w:rPr>
          <w:b/>
        </w:rPr>
        <w:t xml:space="preserve">Quelle: </w:t>
      </w:r>
      <w:r>
        <w:t>https://mcp.opencaselaw.ch/entscheid/bger_1P.253_2004</w:t>
      </w:r>
    </w:p>
    <w:p>
      <w:r>
        <w:t>FR: TF 1P.253/2004 du 20 avril 2005</w:t>
      </w:r>
    </w:p>
    <w:p>
      <w:r>
        <w:t>IT: TF 1P.253/2004 del 20 aprile 2005</w:t>
      </w:r>
    </w:p>
    <w:p>
      <w:pPr>
        <w:pStyle w:val="Heading2"/>
      </w:pPr>
      <w:r>
        <w:t>Regeste</w:t>
      </w:r>
    </w:p>
    <w:p>
      <w:r>
        <w:t>legittimazione a ricorrere contro una decisione dell'autorità di vigilanza sui comuni | Diritto fondamentale</w:t>
      </w:r>
    </w:p>
    <w:p>
      <w:pPr>
        <w:pStyle w:val="Heading2"/>
      </w:pPr>
      <w:r>
        <w:t>Erwägungen</w:t>
      </w:r>
    </w:p>
    <w:p>
      <w:r>
        <w:rPr>
          <w:b/>
        </w:rPr>
        <w:t>E. 1.1</w:t>
      </w:r>
    </w:p>
    <w:p>
      <w:r>
        <w:t>Il Tribunale federale esamina d'ufficio e con piena cognizione l'ammissibilità dei ricorsi che gli vengono sottoposti, senza essere vincolato dagli argomenti delle parti o dalle loro conclusioni ( DTF 130 II 388 consid. 1, 306 consid. 1.1).</w:t>
      </w:r>
    </w:p>
    <w:p>
      <w:r>
        <w:rPr>
          <w:b/>
        </w:rPr>
        <w:t>E. 1.2</w:t>
      </w:r>
    </w:p>
    <w:p>
      <w:r>
        <w:t>Interposto tempestivamente contro una decisione finale emanata dall'ultima istanza cantonale (cfr. art. 207 della legge organica comunale, del 10 marzo 1987 [LOC]), il ricorso di diritto pubblico è di principio ammissibile sotto il profilo degli art. 86 cpv. 1 e 89 cpv. 1 OG. Con questo rimedio il ricorrente può censurare una violazione dei diritti costituzionali dei cittadini ( art. 84 cpv. 1 lett. a OG ).</w:t>
      </w:r>
    </w:p>
    <w:p>
      <w:r>
        <w:rPr>
          <w:b/>
        </w:rPr>
        <w:t>E. 1.3</w:t>
      </w:r>
    </w:p>
    <w:p>
      <w:r>
        <w:t>In quanto ricorrente dinanzi all'ultima istanza cantonale, A.________ è legittimato secondo l' art. 88 OG a fare valere che a torto essa non avrebbe esaminato il suo gravame nel merito ( DTF 120 Ia 220 consid. 2a, 129 II 297 consid. 2.3). Unicamente l'aspetto della legittimazione è del resto stato trattato dal Tribunale cantonale amministrativo e può quindi essere oggetto del presente gravame. Né il ricorrente è abilitato in questa sede a censurare il contenuto della risoluzione governativa dell'11 novembre 2003 poiché solo la decisione dell'ultima istanza cantonale, ad eccezione di quelle delle autorità precedenti, può essere oggetto del ricorso di diritto pubblico ( art. 86 cpv. 1 OG ).</w:t>
      </w:r>
    </w:p>
    <w:p>
      <w:r>
        <w:rPr>
          <w:b/>
        </w:rPr>
        <w:t>E. 2.1</w:t>
      </w:r>
    </w:p>
    <w:p>
      <w:r>
        <w:t>Secondo l' art. 90 cpv. 1 OG l'atto di ricorso, oltre alla designazione della decisione impugnata, deve contenere le conclusioni del ricorrente (lett. a), come pure l'esposizione dei fatti essenziali e quella concisa dei diritti costituzionali o delle norme giuridiche che si pretendono violati, precisando in che consista la violazione (lett. b). Nell'ambito di un ricorso di diritto pubblico il Tribunale federale non applica d'ufficio il diritto, ma statuisce unicamente sulle censure sollevate e solo se sono sufficientemente motivate: il ricorso deve quindi contenere un'esauriente motivazione giuridica dalla quale si possa dedurre se, perché ed eventualmente in quale misura la decisione impugnata leda il ricorrente nei suoi diritti costituzionali ( DTF 130 I 26 consid. 2.1, 129 III 626 consid. 4, 129 I 185 consid. 1.6).</w:t>
      </w:r>
    </w:p>
    <w:p>
      <w:r>
        <w:rPr>
          <w:b/>
        </w:rPr>
        <w:t>E. 2.2</w:t>
      </w:r>
    </w:p>
    <w:p>
      <w:r>
        <w:t>Ove il ricorrente non si confronti con il diniego della sua legittimazione a ricorrere dinanzi alla Corte cantonale, la sola questione ad essere oggetto del presente litigio, ma critichi soprattutto la mancata adozione da parte dell'autorità di vigilanza di provvedimenti più incisivi volti a fare rispettare le condizioni della licenza edilizia del 2 febbraio 1998, il gravame è inammissibile. L'art. 207 cpv. 2 LOC prevede in effetti il diritto di ricorrere al Tribunale cantonale amministrativo solo per chi è leso nei suoi interessi legittimi, escluso il Comune. In applicazione di questa disposizione, i giudici cantonali hanno ritenuto l'istante non legittimato a impugnare la risoluzione resa dall'autorità di vigilanza sui Comuni poiché non modificava a suo discapito la situazione giuridica preesistente all'inoltro della denuncia e non lo ledeva quindi nei suoi interessi legittimi. Spettava quindi al ricorrente spiegare con un'argomentazione specifica perché la precedente istanza, negandogli la legittimazione ricorsuale, avrebbe applicato l'art. 207 LOC in modo manifestamente insostenibile e quindi arbitrario.</w:t>
      </w:r>
    </w:p>
    <w:p>
      <w:r>
        <w:rPr>
          <w:b/>
        </w:rPr>
        <w:t>E. 3.1</w:t>
      </w:r>
    </w:p>
    <w:p>
      <w:r>
        <w:t>Il ricorrente presenta un ricorso di diritto pubblico per "denegata rispettivamente ritardata giustizia". Rileva che, pur accogliendo formalmente la sua istanza di intervento dopo due anni e otto mesi dall'inoltro alla Sezione degli enti locali e dopo oltre cinque anni dal rilascio della licenza edilizia, l'autorità di vigilanza non ha modificato la situazione, omettendo in particolare di imporre un più incisivo rispetto delle condizioni della licenza edilizia e incorrendo in tal modo in un diniego di giustizia. Sostiene che un simile modo di evadere l'istanza di intervento costituirebbe una lesione dei suoi legittimi interessi, ciò che giustificherebbe di riconoscergli la legittimazione a impugnare la decisione dell'autorità di vigilanza dinanzi al Tribunale cantonale amministrativo.</w:t>
      </w:r>
    </w:p>
    <w:p>
      <w:r>
        <w:rPr>
          <w:b/>
        </w:rPr>
        <w:t>E. 3.2</w:t>
      </w:r>
    </w:p>
    <w:p>
      <w:r>
        <w:t>Secondo l' art. 29 cpv. 1 Cost. , invero non esplicitamente invocato dal ricorrente, in procedimenti dinanzi ad autorità giudiziarie o amministrative ognuno ha diritto alla parità ed equità di trattamento, nonché ad essere giudicato entro un termine ragionevole. La giurisprudenza desumeva il divieto del diniego di giustizia formale e della ritardata giustizia già dall' art. 4 vCost. ( DTF 130 I 312 consid. 5.1 e rinvii). Nel caso di denegata giustizia, l'autorità competente rimane del tutto inattiva o esamina l'istanza in modo insufficiente; in quello di ritardata giustizia essa non si pronuncia entro un termine adeguato ( DTF 107 Ib 160 consid. 3b e c; sentenza 1P.315/2001 del 20 giugno 2001, consid. 2, pubblicata in RDAT II-2001, n. 55, pag. 216 segg.). Premesso che l'introduzione dell'istanza di intervento non conferisce il diritto all'apertura di un procedimento di vigilanza (art. 196a LOC), il Consiglio di Stato si è pronunciato sull'istanza di intervento con la decisione dell'11 novembre 2003, dopo che gli atti gli sono stati trasmessi per competenza con la decisione del 23 giugno 2003 della Corte cantonale. Dal canto suo, quest'ultima ha statuito sul ricorso dell'istante contro la risoluzione governativa con la sentenza impugnata, del 5 marzo 2004. Non risulta, né il ricorrente lo sostiene esplicitamente, che tali scadenze non siano ragionevoli o che non risultino giustificate dalla natura della procedura e dall'insieme delle circostanze ( DTF 130 I 312 consid. 5.1-5.2 e rinvii). Accennando a una pretesa denegata giustizia e fondando sulla stessa un suo legittimo interesse a impugnare la decisione dell'autorità di vigilanza dinanzi al Tribunale cantonale amministrativo, il ricorrente critica in realtà la mancata adozione di misure più incisive e concrete nei confronti del Municipio di Porza. Tuttavia, un diniego o ritardo di giustizia non è ravvisabile quando una decisione, fosse pure illegale o irregolare, sia stata comunque presa ( DTF 105 III 107 consid. 5a) e, d'altra parte, il fatto che l'autorità di vigilanza non abbia dato seguito all'istanza di intervento nel senso auspicato dall'istante non comporta di per sé una modifica a suo danno della situazione giuridica preesistente all'istanza stessa ( DTF 111 Ia 280 consid. 2). Come visto, una simile evenienza non è invero seriamente prospettata nemmeno dal ricorrente.</w:t>
      </w:r>
    </w:p>
    <w:p>
      <w:r>
        <w:rPr>
          <w:b/>
        </w:rPr>
        <w:t>E. 4</w:t>
      </w:r>
    </w:p>
    <w:p>
      <w:r>
        <w:t>Ne segue che il ricorso, in quanto ammissibile, deve essere respinto. Le spese seguono la soccombenza ( art. 156 cpv. 1 OG ). Al Municipio di Porza, che non si è avvalso del patrocinio di un legale, non si assegnano ripetibili della sede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