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1P.251/2006 vom 12. Mai 2006</w:t>
      </w:r>
    </w:p>
    <w:p>
      <w:r>
        <w:t>Bundesgericht, 2006-05-12, FR</w:t>
      </w:r>
    </w:p>
    <w:p>
      <w:r>
        <w:rPr>
          <w:b/>
        </w:rPr>
        <w:t xml:space="preserve">Quelle: </w:t>
      </w:r>
      <w:r>
        <w:t>https://mcp.opencaselaw.ch/entscheid/bger_1P.251_2006</w:t>
      </w:r>
    </w:p>
    <w:p>
      <w:r>
        <w:t>FR: TF 1P.251/2006 du 12 mai 2006</w:t>
      </w:r>
    </w:p>
    <w:p>
      <w:r>
        <w:t>IT: TF 1P.251/2006 del 12 maggio 2006</w:t>
      </w:r>
    </w:p>
    <w:p>
      <w:pPr>
        <w:pStyle w:val="Heading2"/>
      </w:pPr>
      <w:r>
        <w:t>Regeste</w:t>
      </w:r>
    </w:p>
    <w:p>
      <w:r>
        <w:t>procédure pénale, récusation | Questions de compétences, garantie du juge du domicile et du ...</w:t>
      </w:r>
    </w:p>
    <w:p>
      <w:pPr>
        <w:pStyle w:val="Heading2"/>
      </w:pPr>
      <w:r>
        <w:t>Erwägungen</w:t>
      </w:r>
    </w:p>
    <w:p>
      <w:r>
        <w:rPr>
          <w:b/>
        </w:rPr>
        <w:t>E. 1</w:t>
      </w:r>
    </w:p>
    <w:p>
      <w:r>
        <w:t>Le présent arrêt rend sans objet la requête d'effet suspensif.</w:t>
      </w:r>
    </w:p>
    <w:p>
      <w:r>
        <w:rPr>
          <w:b/>
        </w:rPr>
        <w:t>E. 2</w:t>
      </w:r>
    </w:p>
    <w:p>
      <w:r>
        <w:t>Le recourant invoque une situation de prévention objective, en se prévalant dans son acte de recours de sa "qualité d'homme politique actif au sein de la commission judiciaire de l'UDC", et même "le plus actif pour faire prévaloir un accord entre les partis politiques concernés" au sujet de la présentation des candidats lors de la prochaine élection générale des magistrats du pouvoir judiciaire cantonal. Selon ses allégations, les commissions judiciaires des partis seraient, dans le "système politico-judiciaire genevois", chargées de préparer les élections des magistrats, de choisir les candidats, puis - en cas d'élection tacite ( art. 50 al. 5 Cst./GE [RS 131.234], en relation avec l' art. 132 Cst./GE ) - de régler entre elles l'attribution des différents sièges dans la magistrature au prorata de la représentation politique de chaque parti. Le recourant affirme que grâce à ses démarches, il est fort possible que les partis politiques genevois s'entendent pour exclure de la magistrature le Juge d'instruction intimé; cette situation serait sans précédent. Il ressort en substance de la jurisprudence du Tribunal fédéral, au sujet des garanties des art. 29 et 30 Cst. , que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131 I 24 consid. 1.1 p. 25 et les arrêts cités). Dans un système connaissant une élection puis une réélection périodique des magistrats de l'ordre judiciaire par une autorité politique - le parlement ou, comme dans le canton de Genève, le Conseil général, à savoir l'ensemble des électeurs ( art. 132 al. 1 Cst./GE ) -, le fait qu'un justiciable participe à ce processus à caractère politique, en sa qualité de citoyen ou le cas échéant de responsable d'un parti politique, n'est à l'évidence pas un élément susceptible de mettre objectivement en doute l'impartialité du magistrat traitant une affaire judiciaire dans laquelle ce justiciable est impliqué. Dans un tel système institutionnel, aucun magistrat n'est assuré de sa réélection et le risque d'un échec à la prochaine élection générale n'est pas une circonstance justifiant la récusation du juge dans toutes les causes auxquelles seraient parties des citoyens prenant part, à un titre ou à un autre (comme membres de l'assemblée générale ou d'une commission thématique d'un parti, par exemple), au processus aboutissant à la désignation des candidats. Les circonstances spéciales invoquées par le recourant ne donnent pas lieu à une autre appréciation. Cela étant, le rôle que s'attribue le recourant au sein de son parti - une responsabilité éminente dans le processus de désignation des magistrats de l'ordre judiciaire - est allégué sans preuves. On ne saurait donc, formellement, exclure une attribution différente des responsabilités ou des délégations dans les commissions, décidée par les organes du parti, tenant compte de la situation nouvelle créée par l'inculpation du recourant. Le recours de droit public, mal fondé, doit donc être rejeté.</w:t>
      </w:r>
    </w:p>
    <w:p>
      <w:r>
        <w:rPr>
          <w:b/>
        </w:rPr>
        <w:t>E. 3</w:t>
      </w:r>
    </w:p>
    <w:p>
      <w:r>
        <w:t>L'émolument judiciaire est mis à la charge du recourant, qui succombe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