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1P.24/2002 vom 21. Januar 2002</w:t>
      </w:r>
    </w:p>
    <w:p>
      <w:r>
        <w:t>Bundesgericht, 2002-01-21, DE</w:t>
      </w:r>
    </w:p>
    <w:p>
      <w:r>
        <w:rPr>
          <w:b/>
        </w:rPr>
        <w:t xml:space="preserve">Quelle: </w:t>
      </w:r>
      <w:r>
        <w:t>https://mcp.opencaselaw.ch/entscheid/bger_1P.24_2002</w:t>
      </w:r>
    </w:p>
    <w:p>
      <w:r>
        <w:t>FR: TF 1P.24/2002 du 21 janvier 2002</w:t>
      </w:r>
    </w:p>
    <w:p>
      <w:r>
        <w:t>IT: TF 1P.24/2002 del 21 gennaio 2002</w:t>
      </w:r>
    </w:p>
    <w:p>
      <w:pPr>
        <w:pStyle w:val="Heading2"/>
      </w:pPr>
      <w:r>
        <w:t>Erwägungen</w:t>
      </w:r>
    </w:p>
    <w:p>
      <w:r>
        <w:rPr>
          <w:b/>
        </w:rPr>
        <w:t>E. 1</w:t>
      </w:r>
    </w:p>
    <w:p>
      <w:r>
        <w:t>Die staatsrechtliche Beschwerde ist nur zulässig gegen letztinstanzliche kantonale Entscheide ( Art. 86 Abs. 1 OG ). Ein solcher liegt nicht vor, da gegen ablehnende kommunale Einbürgerungsentscheide die Gemeindebeschwerde im Sinne von § 91 des Gemeindegesetzes vom 9. Oktober 1962 (GG) an den Regierungsrat offen steht, auch wenn die Gemeinden nicht verpflichtet sind, auf dieses ausserordentliche Rechtsmittel in einer Rechtsmittelbelehrung hinzuweisen. Als im Kanton Luzern praktizierender Anwalt muss Rechtsanwalt Hess-Odoni die Gemeindebeschwerde kennen und er hätte sie daher bei der gebotenen Sorgfalt in der Prozessführung prüfen und erheben müssen. Deren Zulässigkeit auch gegen Einbürgerungsentscheide ergibt sich aus dem Bundesgerichtsentscheid 1P.674/2000 vom 6. März 2001 in Sachen X gegen die Einwohnergemeinde Emmen, der zwar nicht amtlich publiziert, aber durch Presse, Radio und Fernsehen bekannt gemacht wurde und in der Internet-Datenbank des Bundesgerichts (www.bger.ch) zugänglich ist oder bei diesem angefordert werden kann.</w:t>
      </w:r>
    </w:p>
    <w:p>
      <w:r>
        <w:rPr>
          <w:b/>
        </w:rPr>
        <w:t>E. 2</w:t>
      </w:r>
    </w:p>
    <w:p>
      <w:r>
        <w:t>Auf die Beschwerde ist somit mangels Letztinstanzlichkeit des angefochtenen Entscheids nicht einzutreten.</w:t>
      </w:r>
    </w:p>
    <w:p>
      <w:r>
        <w:t>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