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1P.247/2002 vom 12. August 2002</w:t>
      </w:r>
    </w:p>
    <w:p>
      <w:r>
        <w:t>Bundesgericht, 2002-08-12, DE</w:t>
      </w:r>
    </w:p>
    <w:p>
      <w:r>
        <w:rPr>
          <w:b/>
        </w:rPr>
        <w:t xml:space="preserve">Quelle: </w:t>
      </w:r>
      <w:r>
        <w:t>https://mcp.opencaselaw.ch/entscheid/bger_1P.247_2002</w:t>
      </w:r>
    </w:p>
    <w:p>
      <w:r>
        <w:t>FR: TF 1P.247/2002 du 12 août 2002</w:t>
      </w:r>
    </w:p>
    <w:p>
      <w:r>
        <w:t>IT: TF 1P.247/2002 del 12 agosto 2002</w:t>
      </w:r>
    </w:p>
    <w:p>
      <w:pPr>
        <w:pStyle w:val="Heading2"/>
      </w:pPr>
      <w:r>
        <w:t>Regeste</w:t>
      </w:r>
    </w:p>
    <w:p>
      <w:r>
        <w:t>Grundrecht</w:t>
      </w:r>
    </w:p>
    <w:p>
      <w:pPr>
        <w:pStyle w:val="Heading2"/>
      </w:pPr>
      <w:r>
        <w:t>Erwägungen</w:t>
      </w:r>
    </w:p>
    <w:p>
      <w:r>
        <w:rPr>
          <w:b/>
        </w:rPr>
        <w:t>E. 1</w:t>
      </w:r>
    </w:p>
    <w:p>
      <w:r>
        <w:t>Das Bundesgericht prüft von Amtes wegen und mit freier Kognition, ob und gegebenenfalls in welchem Umfang auf eine Beschwerde einzutreten ist ( BGE 128 I 46 E. 1a S. 48 mit Hinweisen).</w:t>
      </w:r>
    </w:p>
    <w:p>
      <w:r>
        <w:rPr>
          <w:b/>
        </w:rPr>
        <w:t>E. 2.1</w:t>
      </w:r>
    </w:p>
    <w:p>
      <w:r>
        <w:t>Die staatsrechtliche Beschwerde ist ein Rechtsmittel zum Schutze der Träger verfassungsmässiger Rechte gegen Übergriffe der Staatsgewalt. Solche Rechte stehen grundsätzlich nur Privaten zu, nicht dagegen dem Gemeinwesen als Inhaber hoheitlicher Gewalt. Öffentlich-rechtliche Körperschaften sind zur staatsrechtlichen Beschwerde legitimiert, wenn sie nicht hoheitlich auftreten, sondern durch einen staatlichen Akt wie eine Privatperson betroffen werden. Gemeinden und andere öffentlichrechtliche Körperschaften können sich zudem mit staatsrechtlicher Beschwerde gegen eine Verletzung ihrer durch das kantonale Recht gewährleisteten Autonomie oder Bestandesgarantie zur Wehr setzen ( BGE 125 I 173 E. 1b ; 121 I 218 E. 2; 120 Ia 95 E. 1a, je mit Hinweisen; siehe auch Walter Kälin, Das Verfahren der staatsrechtlichen Beschwerde, 2. Auflage, Bern 1994, S. 212 f. und 275, mit weiteren Hinweisen).</w:t>
      </w:r>
    </w:p>
    <w:p>
      <w:r>
        <w:rPr>
          <w:b/>
        </w:rPr>
        <w:t>E. 2.2</w:t>
      </w:r>
    </w:p>
    <w:p>
      <w:r>
        <w:t>Die Beschwerdeführerin ist als fürsorgepflichtige Wohnsitzgemeinde durch den angefochtenen Entscheid nicht wie eine Privatperson, sondern in ihrer Stellung als Trägerin öffentlicher Aufgaben betroffen (Urteil des Bundesgerichts 2P.240/1995 vom 22. Januar 1996, publ. in: ZBl 98/1997 S. 414 E. 1e). Zur Ergreifung der staatsrechtlichen Beschwerde fehlt es ihr daher - zumal auch keine Verletzung ihrer Autonomie oder Bestandesgarantie geltend gemacht wird - an der nach Art. 88 OG erforderlichen Legitimation. Dass durch den Zwang zur Übernahme der Massnahmevollzugskosten in die finanziellen Interessen der Gemeinde, in ihr Finanz- und Verwaltungsvermögen, eingegriffen wird, ändert entgegen ihrer Ansicht nichts an der Legitimation zur staatsrechtlichen Beschwerde ( BGE 119 Ia 214 E. 1b mit Hinweisen). Auf diese ist somit nicht einzutreten.</w:t>
      </w:r>
    </w:p>
    <w:p>
      <w:r>
        <w:rPr>
          <w:b/>
        </w:rPr>
        <w:t>E. 3</w:t>
      </w:r>
    </w:p>
    <w:p>
      <w:r>
        <w:t>Bei diesem Ausgang des Verfahrens sind die Gerichtskosten der Beschwerdeführerin aufzuerlegen (Art. 156 Abs. 1 in Verbindung mit Art. 153 und Art. 153a OG ). Sofern die obsiegende kantonale Behörde mit dem Begriff "kostenfällig" eine Parteientschädigung beantragt hat, kann diesem Begehren nicht entsprochen werden ( Art. 159 Abs. 2 OG analog für das Verfahren der staatsrechtlichen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