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1P.23/2002 vom 30. Januar 2002</w:t>
      </w:r>
    </w:p>
    <w:p>
      <w:r>
        <w:t>Bundesgericht, 2002-01-30, FR</w:t>
      </w:r>
    </w:p>
    <w:p>
      <w:r>
        <w:rPr>
          <w:b/>
        </w:rPr>
        <w:t xml:space="preserve">Quelle: </w:t>
      </w:r>
      <w:r>
        <w:t>https://mcp.opencaselaw.ch/entscheid/bger_1P.23_2002</w:t>
      </w:r>
    </w:p>
    <w:p>
      <w:r>
        <w:t>FR: TF 1P.23/2002 du 30 janvier 2002</w:t>
      </w:r>
    </w:p>
    <w:p>
      <w:r>
        <w:t>IT: TF 1P.23/2002 del 30 gennaio 2002</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 ATF 127 III 41 consid. 2a p. 42; 126 I 207 consid. 1 p. 209 et les arrêts cités).</w:t>
      </w:r>
    </w:p>
    <w:p>
      <w:r>
        <w:rPr>
          <w:b/>
        </w:rPr>
        <w:t>E. 1.1</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126 I 43 consid. 1a p. 44, 81 consid. 3b p. 85 et les arrêts cités). Selon une jurisprudence constante, le plaignant ou lésé - sous réserve des cas d'application de la loi fédérale sur l'aide aux victimes d'infraction (LAVI; RS 312.5), qui n'entre manifestement pas en considération en l'espèce (cf. art. 2 LAVI et ATF 125 II 265 consid. 2a p. 268) - n'a en principe pas qualité pour recourir contre un non-lieu ou un refus d'ouvrir une procédure pénale; il n'est pas atteint dans ses intérêts juridiquement protégés par la décision de ne pas poursuivre ou punir l'auteur d'une prétendue infraction, car l'action pénale appartient exclusivement à l'Etat et ne profite qu'indirectement au lésé ( ATF 126 I 97 consid. 1a p. 99; 125 I 253 consid. 1b p. 255; 121 IV 317 consid. 3b p. 324 et les arrêts cités). Celui qui n'a pas qualité pour recourir sur le fond peut cependant, s'il avait qualité de partie dans la procédure cantonale, se plaindre d'un déni de justice formel, ou en d'autres termes de la violation des garanties formelles offertes aux parties par le droit cantonal de procédure ou par le droit constitutionnel, notamment le droit d'être entendu ( art. 29 al. 2 Cst. ). L'intérêt juridiquement protégé exigé par l' art. 88 OJ découle alors du droit de participer, comme plaignant ou partie civile, à la procédure cantonale. La partie recourante ne saurait toutefois, par ce biais, remettre en cause la décision attaquée sur le fond, en critiquant l'appréciation des preuves ou en faisant valoir que la motivation retenue serait matériellement fausse ( ATF 126 I 81 consid. 3b p. 86; 125 II 86 consid. 3b p. 94; 121 IV 317 consid. 3b p. 324 et les arrêts cités).</w:t>
      </w:r>
    </w:p>
    <w:p>
      <w:r>
        <w:rPr>
          <w:b/>
        </w:rPr>
        <w:t>E. 1.2</w:t>
      </w:r>
    </w:p>
    <w:p>
      <w:r>
        <w:t>La recourante agit, dans la présente procédure, comme plaignante. En dénonçant une violation du droit d'être entendu ( art. 29 al. 2 Cst. ), elle reproche à la juridiction cantonale d'avoir confirmé l'ordonnance de classement alors que des preuves essentielles - l'audition en tant que témoins des directeurs de A.________ et de B.________ - n'avaient pas été administrées. Or ce grief concerne l'appréciation, anticipée en l'occurrence, des preuves offertes en procédure cantonale (cf. ATF 124 I 208 consid. 4a p. 211; 122 II 464 consid. 4a p. 469 et les arrêts cités). Le recours de droit public vise donc, à cet égard également, à remettre en cause la décision attaquée sur le fond. Les conditions de recevabilité de l' art. 88 OJ ne sont dès lors pas remplies.</w:t>
      </w:r>
    </w:p>
    <w:p>
      <w:r>
        <w:rPr>
          <w:b/>
        </w:rPr>
        <w:t>E. 2</w:t>
      </w:r>
    </w:p>
    <w:p>
      <w:r>
        <w:t>Il s'ensuit que le recours droit public est manifestement irrecevable. Il doit être liquidé selon la procédure simplifiée de l' art. 36a al. 1 OJ . La recourante, qui succombe, doit payer l'émolument judiciaire ( art. 153, 153a et 156 al. 1 OJ ). Aucun échange d'écritures n'ayant été ordonné, il n'y a pas lieu d'allouer des dépens (cf. art. 159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