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1P.237/2003 vom 28. April 2003</w:t>
      </w:r>
    </w:p>
    <w:p>
      <w:r>
        <w:t>Bundesgericht, 2003-04-28, IT</w:t>
      </w:r>
    </w:p>
    <w:p>
      <w:r>
        <w:rPr>
          <w:b/>
        </w:rPr>
        <w:t xml:space="preserve">Quelle: </w:t>
      </w:r>
      <w:r>
        <w:t>https://mcp.opencaselaw.ch/entscheid/bger_1P.237_2003</w:t>
      </w:r>
    </w:p>
    <w:p>
      <w:r>
        <w:t>FR: TF 1P.237/2003 du 28 avril 2003</w:t>
      </w:r>
    </w:p>
    <w:p>
      <w:r>
        <w:t>IT: TF 1P.237/2003 del 28 aprile 2003</w:t>
      </w:r>
    </w:p>
    <w:p>
      <w:pPr>
        <w:pStyle w:val="Heading2"/>
      </w:pPr>
      <w:r>
        <w:t>Regeste</w:t>
      </w:r>
    </w:p>
    <w:p>
      <w:r>
        <w:t>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l'ammissibilità dei ricorsi che gli vengono sottoposti ( DTF 128 I 177 consid. 1, 128 II 46 consid. 2a).</w:t>
      </w:r>
    </w:p>
    <w:p>
      <w:r>
        <w:rPr>
          <w:b/>
        </w:rPr>
        <w:t>E. 1.1</w:t>
      </w:r>
    </w:p>
    <w:p>
      <w:r>
        <w:t>Nell'ambito di un ricorso di diritto pubblico, unico rimedio esperibile nella fattispecie, il Tribunale federale statuisce unicamente sulle censure sollevate e solo quando siano sufficientemente motivate: il ricorso deve quindi contenere un'esauriente motivazione giuridica, dalla quale si possa dedurre se, perché, ed eventualmente in quale misura, la decisione impugnata leda il ricorrente nei suoi diritti costituzionali ( art. 90 cpv. 1 lett. b OG ; DTF 127 I 38 consid. 3c, 126 I 235 consid. 2a). In particolare - e ciò è noto al ricorrente (v. cause 1P.141 e 1P.142/2002, sentenze del 9 aprile 2002 nei suoi confronti) - quando l'ultima Autorità cantonale dichiara, come nella fattispecie, un ricorso irricevibile per ragioni formali, e non procede all'esame di merito, il ricorrente deve addurre perché l'Autorità avrebbe accertato in modo arbitrario l'assenza dei presupposti formali, in concreto quelli previsti dall' art. 186 CPP /TI ( DTF 118 Ib 26 consid. 2b, 134 consid. 2).</w:t>
      </w:r>
    </w:p>
    <w:p>
      <w:r>
        <w:rPr>
          <w:b/>
        </w:rPr>
        <w:t>E. 1.2</w:t>
      </w:r>
    </w:p>
    <w:p>
      <w:r>
        <w:t>Il "ricorso" in esame, il quale non indica del tutto come e perché la Corte cantonale avrebbe applicato in maniera arbitraria tale norma, non adempie manifestamente i citati requisiti di motivazione e dev'essere quindi dichiarato inammissibile.</w:t>
      </w:r>
    </w:p>
    <w:p>
      <w:r>
        <w:rPr>
          <w:b/>
        </w:rPr>
        <w:t>E. 2</w:t>
      </w:r>
    </w:p>
    <w:p>
      <w:r>
        <w:t>La tassa di giustizia di fr. 500.-- è posta a carico del ricorrente.</w:t>
      </w:r>
    </w:p>
    <w:p>
      <w:r>
        <w:rPr>
          <w:b/>
        </w:rPr>
        <w:t>E. 3</w:t>
      </w:r>
    </w:p>
    <w:p>
      <w:r>
        <w:t>Comunicazione al ricorrente, al Ministero pubblico e alla Camera dei ricorsi penali del Tribunale d'appello del Cantone Ticino. Losanna, 28 aprile 2003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