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1P.225/2005 vom 26. April 2005</w:t>
      </w:r>
    </w:p>
    <w:p>
      <w:r>
        <w:t>Bundesgericht, 2005-04-26, FR</w:t>
      </w:r>
    </w:p>
    <w:p>
      <w:r>
        <w:rPr>
          <w:b/>
        </w:rPr>
        <w:t xml:space="preserve">Quelle: </w:t>
      </w:r>
      <w:r>
        <w:t>https://mcp.opencaselaw.ch/entscheid/bger_1P.225_2005</w:t>
      </w:r>
    </w:p>
    <w:p>
      <w:r>
        <w:t>FR: TF 1P.225/2005 du 26 avril 2005</w:t>
      </w:r>
    </w:p>
    <w:p>
      <w:r>
        <w:t>IT: TF 1P.225/2005 del 26 aprile 2005</w:t>
      </w:r>
    </w:p>
    <w:p>
      <w:pPr>
        <w:pStyle w:val="Heading2"/>
      </w:pPr>
      <w:r>
        <w:t>Regeste</w:t>
      </w:r>
    </w:p>
    <w:p>
      <w:r>
        <w:t>détention préventive | Procédure pénale</w:t>
      </w:r>
    </w:p>
    <w:p>
      <w:pPr>
        <w:pStyle w:val="Heading2"/>
      </w:pPr>
      <w:r>
        <w:t>Erwägungen</w:t>
      </w:r>
    </w:p>
    <w:p>
      <w:r>
        <w:rPr>
          <w:b/>
        </w:rPr>
        <w:t>E. 1</w:t>
      </w:r>
    </w:p>
    <w:p>
      <w:r>
        <w:t>Le recours de droit public est formé en temps utile contre un arrêt rendu en dernière instance cantonale (art. 86 al. 1 et 89 al. 1 OJ). Le recourant, personnellement touché par l'arrêt attaqué qui autorise la prolongation pour trois mois de sa détention préventive, a qualité pour recourir selon l' art. 88 OJ . Par exception à la nature cassatoire du recours de droit public, les conclusions tendant à la mise en liberté immédiate sont recevables ( ATF 124 I 327 consid. 4b/aa p. 333).</w:t>
      </w:r>
    </w:p>
    <w:p>
      <w:r>
        <w:rPr>
          <w:b/>
        </w:rPr>
        <w:t>E. 2</w:t>
      </w:r>
    </w:p>
    <w:p>
      <w:r>
        <w:t>Le recourant se plaint d'arbitraire dans l'appréciation des faits. L'une des pièces qui lui ont été remises serait incorrectement désignée comme procès-verbal de perquisition, alors qu'il s'agit de l'ordonnance rendue à cet effet. Aucune pièce ne mentionnerait les objets trouvés dans l'appartement occupé par le recourant. A défaut de preuves corroborant les accusations quant à la présence et à la provenance "douteuse" de ces objets, les charges seraient insuffisantes. Il y aurait eu confusion entre l'appartement occupé par B.________ et celui du recourant. Les charges seraient aussi insuffisantes s'agissant de l'infraction à la LSEE, car le recourant n'est pas entré illégalement en Suisse. Subsidiairement, le recourant se plaint d'une violation de son droit d'être entendu et de l' art. 5 par. 4 CEDH , puisque les éléments de preuve n'ont pas été portés à sa connaissance.</w:t>
      </w:r>
    </w:p>
    <w:p>
      <w:r>
        <w:rPr>
          <w:b/>
        </w:rPr>
        <w:t>E. 3</w:t>
      </w:r>
    </w:p>
    <w:p>
      <w:r>
        <w:t>Ce dernier grief, formel, se confond avec les reproches d'ordre matériel. En effet, la Chambre d'accusation s'est exclusivement fondée, dans le respect du droit d'être entendu, sur les pièces du dossier dont le recourant avait connaissance. Par ailleurs, si la motivation de l'ordonnance attaquée est succincte, cela n'empêche pas le recourant de contester la réalité des charges évoquées. Tel qu'il est soulevé, l'argument du recourant revient, comme il l'admet lui-même, à contester l'existence de preuves suffisantes à son encontre.</w:t>
      </w:r>
    </w:p>
    <w:p>
      <w:r>
        <w:rPr>
          <w:b/>
        </w:rPr>
        <w:t>E. 4</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4.1</w:t>
      </w:r>
    </w:p>
    <w:p>
      <w:r>
        <w:t>Le recourant estime que l'indication des charges devrait comprendre des éléments de preuve concrets et précis, qui feraient défaut en l'occurrence. Il méconnaît ainsi que l'intensité des charges susceptibles de justifier un maintien en détention préventive n'est pas la même aux divers stades de l'instruction pénale; en effet, dans les premiers temps de l'enquête, des soupçons encore peu précis peuvent être considérés comme suffisants, alors que la perspective d'une condamnation doit apparaître vraisemblable après l'accomplissement des actes d'instruction envisageables (arrêt non publié F. du 27 novembre 1991, non reproduit sur ce point in SJ 1992, 191).</w:t>
      </w:r>
    </w:p>
    <w:p>
      <w:r>
        <w:rPr>
          <w:b/>
        </w:rPr>
        <w:t>E. 4.2</w:t>
      </w:r>
    </w:p>
    <w:p>
      <w:r>
        <w:t>En l'espèce, il est reproché au recourant d'avoir, depuis une année environ, entreposé à son propre domicile une grande quantité d'objets volés, qui seraient ensuite remis à B.________ afin qu'il les envoie en Arménie. Même si le procès-verbal de perquisition ne fait pas partie des pièces remises au recourant et sur lesquelles la cour cantonale s'est fondée, le recourant a implicitement admis la présence de nombreux objets chez lui, puisqu'il s'est contenté lors de ses premières auditions d'en contester la provenance illicite. A ce stade de l'enquête, et en dépit d'imprécisions quant aux domiciles respectifs des protagonistes, la cour cantonale pouvait sans arbitraire retenir l'existence de charges suffisantes.</w:t>
      </w:r>
    </w:p>
    <w:p>
      <w:r>
        <w:rPr>
          <w:b/>
        </w:rPr>
        <w:t>E. 4.3</w:t>
      </w:r>
    </w:p>
    <w:p>
      <w:r>
        <w:t>Pour le surplus, le recourant ne conteste pas l'existence des risques de réitération, de fuite et de collusion.</w:t>
      </w:r>
    </w:p>
    <w:p>
      <w:r>
        <w:rPr>
          <w:b/>
        </w:rPr>
        <w:t>E. 5</w:t>
      </w:r>
    </w:p>
    <w:p>
      <w:r>
        <w:t>Sur le vu de ce qui précède, le recours de droit public doit être rejeté. Le recourant a demandé l'assistance judiciaire, et il peut être fait droit à cette demande. Me Garbade est désigné comme avocat d'office du recourant, et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