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1P.225/2004 vom 23. April 2004</w:t>
      </w:r>
    </w:p>
    <w:p>
      <w:r>
        <w:t>Bundesgericht, 2004-04-23, DE</w:t>
      </w:r>
    </w:p>
    <w:p>
      <w:r>
        <w:rPr>
          <w:b/>
        </w:rPr>
        <w:t xml:space="preserve">Quelle: </w:t>
      </w:r>
      <w:r>
        <w:t>https://mcp.opencaselaw.ch/entscheid/bger_1P.225_2004</w:t>
      </w:r>
    </w:p>
    <w:p>
      <w:r>
        <w:t>FR: TF 1P.225/2004 du 23 avril 2004</w:t>
      </w:r>
    </w:p>
    <w:p>
      <w:r>
        <w:t>IT: TF 1P.225/2004 del 23 aprile 2004</w:t>
      </w:r>
    </w:p>
    <w:p>
      <w:pPr>
        <w:pStyle w:val="Heading2"/>
      </w:pPr>
      <w:r>
        <w:t>Regeste</w:t>
      </w:r>
    </w:p>
    <w:p>
      <w:r>
        <w:t>Strafprozess</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Er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mit Hinweisen).</w:t>
      </w:r>
    </w:p>
    <w:p>
      <w:r>
        <w:rPr>
          <w:b/>
        </w:rPr>
        <w:t>E. 1.2</w:t>
      </w:r>
    </w:p>
    <w:p>
      <w:r>
        <w:t>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mit Hinweisen).</w:t>
      </w:r>
    </w:p>
    <w:p>
      <w:r>
        <w:rPr>
          <w:b/>
        </w:rPr>
        <w:t>E. 1.3</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 Nach der Botschaft vom 25. April 1990 zum Opferhilfegesetz sind von einer Ehrverletzung Betroffene nicht Opfer im Sinne von Art. 2 OHG (BBl 1990 II S. 977 f.). Wie das Bundesgericht in BGE 120 Ia 157 erwog, kann fraglich erscheinen, ob dies auch in aussergewöhnlich schweren Fällen von Ehrverletzungen zu gelten hat. Es hat die Frage in jenem Entscheid offen gelassen (E. 2d/aa S. 162). Die Frage kann auch vorliegend offen bleiben, da der Beschwerdeführer nicht geltend macht, durch die beanstandeten Äusserungen in seiner psychischen Integrität beeinträchtigt worden zu sein. Selbst wenn man insoweit eine Beeinträchtigung annehmen wollte, so erreicht sie jedenfalls nicht das Mass, das für die Bejahung der Opfereigenschaft erforderlich ist. Der Beschwerdeführer ist daher nicht Opfer im Sinne von Art. 2 Abs. 1 OHG .</w:t>
      </w:r>
    </w:p>
    <w:p>
      <w:r>
        <w:rPr>
          <w:b/>
        </w:rPr>
        <w:t>E. 1.4</w:t>
      </w:r>
    </w:p>
    <w:p>
      <w:r>
        <w:t>Somit kann dem Beschwerdeführer keine gegenüber der Praxis zu Art. 88 OG erweiterte Legitimation zuerkannt werden. Auf die Beschwerde in der Sache selbst ist daher nicht einzutreten, soweit die Beweiswürdigung der kantonalen Behörden beanstandet wird. Der Beschwerdeführer kann einzig die Verletzung von Verfahrensvorschriften geltend machen, deren Missachtung eine formelle Rechtsverweigerung darstellt. Solche Rügen ( Art. 29 BV ) erhebt er jedoch nicht in einer den Begründungsanforderungen von Art. 90 Abs. 1 lit. b OG genügenden Form. Seine entsprechenden Vorbringen betreffen im Wesentlichen die Sache selber. Soweit sich die Eingabe des Beschwerdeführers gegen den Entscheid in der Sache selbst richtet, ist deshalb nicht darauf einzutreten.</w:t>
      </w:r>
    </w:p>
    <w:p>
      <w:r>
        <w:rPr>
          <w:b/>
        </w:rPr>
        <w:t>E. 2</w:t>
      </w:r>
    </w:p>
    <w:p>
      <w:r>
        <w:t>Der Beschwerdeführer beanstandet weiter die Verweigerung der unentgeltlichen Rechtspflege. In dieser Hinsicht greift der angefochtene Entscheid in rechtlich geschützte Interessen des Beschwerdeführers ein, welcher deshalb insoweit legitimiert ist, staatsrechtliche Beschwerde zu erheben. Allerdings bleibt die verfassungsrechtliche Kontrolle auf die unentgeltliche Rechtspflege als solche beschränkt und kann nicht dazu führen, dass indirekt auch der Entscheid in der Sache überprüft wird. Es fragt sich demnach vorliegend einzig, ob die Verweigerung der unentgeltlichen Rechtspflege aus Gründen verfassungswidrig ist, die nicht mit dem Entscheid der Anklagekammer in der Sache in Zusammenhang stehen (vgl. BGE 129 II 297 E. 2.2).</w:t>
      </w:r>
    </w:p>
    <w:p>
      <w:r>
        <w:rPr>
          <w:b/>
        </w:rPr>
        <w:t>E. 2.1</w:t>
      </w:r>
    </w:p>
    <w:p>
      <w:r>
        <w:t>Der Beschwerdeführer rügt eine Verletzung von Art. 9 und 29 BV . Die Anklagekammer wäre verpflichtet gewesen, über die unentgeltliche Rechtspflege vorweg in einem selbständig anfechtbaren Zwischenentscheid und nicht erst im Entscheid in der Sache selbst zu befinden. Der Anspruch auf unentgeltliche Rechtspflege ergibt sich, soweit das kantonale Recht keine weitergehenden Ansprüche gewährt, als Minimalgarantie aus Art. 29 Abs. 3 BV . Nach dieser Verfassungsbestimmung hat jede Person, die nicht über die erforderlichen Mitteln verfügt, Anspruch auf unentgeltliche Rechtspflege, wenn ihr Rechtsbegehren nicht aussichtslos erscheint. Soweit es zur Wahrung ihrer Rechte notwendig ist, hat sie ausserdem Anspruch auf unentgeltlichen Rechtsbeistand. Mit dem verfassungsmässigen Anspruch auf unentgeltliche Rechtspflege soll verhindert werden, dass dem bedürftigen Rechtsuchenden der Zugang zu Gerichts- und Verwaltungsinstanzen in nicht von vornherein aussichtslosen Verfahren wegen seiner wirtschaftlichen Verhältnisse verwehrt oder erschwert wird. Dieses Recht gewährleistet der bedürftigen Person, dass die entsprechende Gerichts- oder Verwaltungsinstanz ohne vorherige Hinterlegung oder Sicherstellung von Kosten tätig wird. Indessen folgt aus Art. 29 Abs. 3 BV kein Anspruch der bedürftigen Person, dass ihr bereits zu Beginn des Verfahrens über die Befreiung von Kostenvorschüssen hinaus die unentgeltliche Rechtspflege zugesichert wird. Der Beschwerdeführer macht nicht geltend, dass die Anklagekammer von ihm einen Vorschuss für das Beschwerdeverfahren verlangt hätte. Ihm wurde folglich der Zugang zum Gericht nicht verwehrt. Somit ist die Beschwerde in diesem Punkt als offensichtlich unbegründet abzuweisen.</w:t>
      </w:r>
    </w:p>
    <w:p>
      <w:r>
        <w:rPr>
          <w:b/>
        </w:rPr>
        <w:t>E. 2.2</w:t>
      </w:r>
    </w:p>
    <w:p>
      <w:r>
        <w:t>Der Beschwerdeführer macht weiter geltend, die Anklagekammer habe die Begründungspflicht verletzt, indem sie zwar erläutert habe, weshalb die Beschwerde abzuweisen sei, es aber versäumt habe, die angebliche Aussichtslosigkeit zu begründen. Die Rüge geht fehl. Die Anklagekammer erachtete die verfolgten Rechtsansprüche von Anfang an als aussichtslos, weshalb sie die Voraussetzungen zur Gewährung der unentgeltlichen Rechtspflege verneinte. Mit Blick auf die von der Anklagekammer in der Sache selbst gemachten Ausführungen waren ihre Darlegungen zur Verweigerung der unentgeltlichen Rechtspflege genügend klar, so dass der Beschwerdeführer den Entscheid in diesem Punkt in voller Kenntnis der Sache anfechten konnte. Die Beschwerde ist daher auch insoweit abzuweisen.</w:t>
      </w:r>
    </w:p>
    <w:p>
      <w:r>
        <w:rPr>
          <w:b/>
        </w:rPr>
        <w:t>E. 2.3</w:t>
      </w:r>
    </w:p>
    <w:p>
      <w:r>
        <w:t>Soweit der Beschwerdeführer beanstandet, dass die Anklagekammer seine Beschwerde von Anfang an als aussichtslos beurteilte, laufen die Vorbringen auf eine Überprüfung der Sache selbst hinaus. Darauf kann nach dem bereits Ausgeführten nicht eingetreten werden.</w:t>
      </w:r>
    </w:p>
    <w:p>
      <w:r>
        <w:rPr>
          <w:b/>
        </w:rPr>
        <w:t>E. 3</w:t>
      </w:r>
    </w:p>
    <w:p>
      <w:r>
        <w:t>Zusammenfassend ergibt sich, dass die staatsrechtliche Beschwerde abzuweisen ist, soweit darauf eingetreten werden kann. Angesichts der offensichtlichen Aussichtslosigkeit der vorliegenden Beschwerde kann dem Gesuch um unentgeltliche Rechtspflege unter Beiordnung eines Rechtsbeistandes nicht entsprochen werden. Dem Ausgang des Verfahrens entsprechend sind die bundesgerichtlichen Kosten dem Beschwerdeführer aufzuerlegen ( Art. 156 Abs. 1 OG ). Bei der Festsetzung der Gerichtsgebühr wird seinen finanziellen Verhältnissen Rechnung getragen.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