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1P.219/2000 vom 20. April 2000</w:t>
      </w:r>
    </w:p>
    <w:p>
      <w:r>
        <w:t>Bundesgericht, 2000-04-20, DE</w:t>
      </w:r>
    </w:p>
    <w:p>
      <w:r>
        <w:rPr>
          <w:b/>
        </w:rPr>
        <w:t xml:space="preserve">Quelle: </w:t>
      </w:r>
      <w:r>
        <w:t>https://mcp.opencaselaw.ch/entscheid/bger_1P.219_2000</w:t>
      </w:r>
    </w:p>
    <w:p>
      <w:r>
        <w:t>FR: TF 1P.219/2000 du 20 avril 2000</w:t>
      </w:r>
    </w:p>
    <w:p>
      <w:r>
        <w:t>IT: TF 1P.219/2000 del 20 aprile 2000</w:t>
      </w:r>
    </w:p>
    <w:p>
      <w:pPr>
        <w:pStyle w:val="Heading2"/>
      </w:pPr>
      <w:r>
        <w:t>Erwägungen</w:t>
      </w:r>
    </w:p>
    <w:p>
      <w:r>
        <w:rPr>
          <w:b/>
        </w:rPr>
        <w:t>E. 1</w:t>
      </w:r>
    </w:p>
    <w:p>
      <w:r>
        <w:t>a) Der Beschwerdeführer wirft dem Obergericht eine Verletzung der persönlichen Freiheit, von Art. 4 aBV und von Art. 6 Ziff. 1 EMRK vor. Er beruft sich damit auf die EMRK und die alte Bundesverfassung vom 29. Mai 1874, die im Zeitpunkt des angefochtenen Entscheides nicht mehr in Kraft war.</w:t>
      </w:r>
    </w:p>
    <w:p>
      <w:r>
        <w:t>Das schadet ihm insofern nicht, als die von ihm angerufenen Grundrechte ins neue Recht überführt worden sind. Er macht somit sinngemäss die Verletzung von Art. 9 und Art. 10 Abs. 2 der Bundesverfassung vom 18. April 1999 (BV) geltend, wozu er legitimiert ist ( Art. 88 OG ). Die übrigen Sachurteilsvoraussetzungen sind erfüllt, sodass auf die Beschwerde, unter dem Vorbehalt gehörig begründeter Rügen ( Art. 90 Abs. 1 lit. b OG ; BGE 125 I 492 E. 1b ; 122 I 70 E. 1c ; 121 I 334 E. 1c), einzutreten ist.</w:t>
      </w:r>
    </w:p>
    <w:p>
      <w:r>
        <w:t>b) Mit einer staatsrechtlichen Beschwerde gegen die Anordnung von Sicherheitshaft kann, ausser der Aufhebung des angefochtenen Entscheids, auch die sofortige Entlassung aus der Haft verlangt werden ( BGE 115 Ia 293 E. 1a). Der entsprechende Antrag des Beschwerdeführers ist daher zulässig.</w:t>
      </w:r>
    </w:p>
    <w:p>
      <w:r>
        <w:t>c) Bei staatsrechtlichen Beschwerden, die gestützt auf das verfassungsmässige Recht der persönlichen Freiheit gegen die Haftanordnung erhoben werden, prüft das Bundesgericht die Auslegung und Anwendung des kantonalen Rechts grundsätzlich frei ( BGE 117 Ia 72 E. 1; 114 Ia 281 E. 3).</w:t>
      </w:r>
    </w:p>
    <w:p>
      <w:r>
        <w:rPr>
          <w:b/>
        </w:rPr>
        <w:t>E. 2</w:t>
      </w:r>
    </w:p>
    <w:p>
      <w:r>
        <w:t>a) Das Bezirksgericht Brugg hat im Urteil vom 22. Februar 2000 seinen Beschluss, den Beschwerdeführer in Sicherheitshaft zu nehmen, nicht begründet. Dem angefochtenen Urteil des Obergerichts lässt sich nicht entnehmen, aufgrund welcher gesetzlicher Grundlagen er sich in Haft befindet. Der Beschwerdeführer rügt dies indessen nicht, sondern geht unwidersprochen und damit wohl zu Recht davon aus, dass er in Anwendung von § 67 Abs. 2 StPO "zur Sicherung des Strafvollzuges nach der Beurteilung" in Haft genommen wurde. Unter dem Gesichtswinkel von Art. 10 Abs. 2 BV ist die Anordnung von Sicherheitshaft grundsätzlich nicht zu beanstanden, wenn ausser dem dringenden Tatverdacht, der unbestritten ist und mit der erstinstanzlichen Verurteilung ohnehin feststeht, Fluchtgefahr gegeben ist.</w:t>
      </w:r>
    </w:p>
    <w:p>
      <w:r>
        <w:t>b) 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2a; 117 Ia 69 E. 4a; 108 Ia 64 E. 3; 107 Ia 3 E. 6).</w:t>
      </w:r>
    </w:p>
    <w:p>
      <w:r>
        <w:t>c) Der Beschwerdeführer hat mittlerweile rund 13 Monate seiner erstinstanzlichen Strafe verbüsst, weshalb die zu verbüssende Reststrafe als Fluchtanreiz nur noch wenig - und stark abnehmend - ins Gewicht fällt. Immerhin hat der Beschwerdeführer, gegen den eine lebenslängliche Landesverweisung besteht, keinen ersichtlichen Grund, eine allfällige Reststrafe freiwillig zu verbüssen, so dass das Obergericht ohne Verletzung der Verfassung Fluchtgefahr annehmen durfte. Dies umso mehr, als keineswegs schon feststeht, dass dem Beschwerdeführer die für die bedingte Entlassung nach Verbüssung von zwei Dritteln der Strafe nach Art. 38 Abs. 1 StGB erforderliche gute Prognose ohne weiteres gestellt werden kann. Aus diesem Grund erweist sich auch der Vorwurf, seine weitere Inhaftierung verstosse gegen das von Art. 6 EMRK garantierte Recht auf ein faires Verfahren, weil er bei einem Rückzug seiner Berufung umgehend aus der Haft entlassen werden müsste, als von vornherein unbegründet.</w:t>
      </w:r>
    </w:p>
    <w:p>
      <w:r>
        <w:t>Das Obergericht konnte daher auch stillschweigend darüber hinweggehen, ohne das rechtliche Gehör des Beschwerdeführers zu verletzen.</w:t>
      </w:r>
    </w:p>
    <w:p>
      <w:r>
        <w:t>d) Allerdings ist das Obergericht darauf hinzuweisen, dass sich die verbüsste Strafe rasch der zu erwartenden Maximalstrafe von 18 Monaten nähert, die auf Berufung des Beschwerdeführers hin nur bestätigt oder gesenkt, nicht aber erhöht werden kann. Will es den Beschwerdeführer bis zu seinem Berufungsurteil in Sicherheitshaft behalten, so wird es binnen kürzester Frist über die Berufung zu entscheiden haben.</w:t>
      </w:r>
    </w:p>
    <w:p>
      <w:r>
        <w:t>Unter den gegebenen Umständen wird die Aufrechterhaltung der Sicherheitshaft über 3/4 der Maximalstrafe hinaus verfassungsrechtlich immer problematischer.</w:t>
      </w:r>
    </w:p>
    <w:p>
      <w:r>
        <w:rPr>
          <w:b/>
        </w:rPr>
        <w:t>E. 3</w:t>
      </w:r>
    </w:p>
    <w:p>
      <w:r>
        <w:t>a) Das Obergericht hat auf Gesuch des Beschwerdeführers hin die Kosten seines Vertreters auf die Gerichtskasse genommen, ihm aber die Verfahrenskosten auferlegt. Zur Begründung führt es an, nach aargauischer Strafprozessordnung erschöpfe sich die unentgeltliche Rechtspflege in der Beiordnung eines unentgeltlichen Verteidigers. Im Übrigen könne der Beschwerdeführer nicht als mittellos bezeichnet werden, seien doch bei ihm laut bezirksgerichtlichem Urteil über 11'000 Franken beschlagnahmt worden.</w:t>
      </w:r>
    </w:p>
    <w:p>
      <w:r>
        <w:t>Der Beschwerdeführer rügt, das Obergericht habe seine Mittellosigkeit willkürlich verneint, da er über die beschlagnahmten Werte nicht verfügen könne.</w:t>
      </w:r>
    </w:p>
    <w:p>
      <w:r>
        <w:t>b) Das Obergericht hat es mit zwei voneinander unabhängigen Begründungen abgelehnt, die Verfahrenskosten auf die Gerichtskasse zu nehmen. Der Beschwerdeführer greift in der staatsrechtlichen Beschwerde nur eine davon an, was nach der bundesgerichtlichen Rechtsprechung zur Folge hat, dass auf die Rüge als Ganzes nicht einzutreten ist ( BGE 115 II 288 E. 4; 113 Ia 94 E. 1a/bb).</w:t>
      </w:r>
    </w:p>
    <w:p>
      <w:r>
        <w:rPr>
          <w:b/>
        </w:rPr>
        <w:t>E. 4</w:t>
      </w:r>
    </w:p>
    <w:p>
      <w:r>
        <w:t>Die Beschwerde ist somit abzuweisen, soweit darauf einzutreten ist. Bei diesem Ausgang des Verfahrens hat der Beschwerdeführer die Kosten zu tragen ( Art. 156 Abs. 1 OG ).</w:t>
      </w:r>
    </w:p>
    <w:p>
      <w:r>
        <w:t>Er hat indessen ein Gesuch um unentgeltliche Rechtspflege gestellt, welches gutzuheissen ist, da die Beschwerde nicht von vornherein aussichtslos war und die Bedürftigkeit des Beschwerdeführers ausreichend glaubhaft gemacht ist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