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1P.193/2003 vom 26. März 2003</w:t>
      </w:r>
    </w:p>
    <w:p>
      <w:r>
        <w:t>Bundesgericht, 2003-03-26, DE</w:t>
      </w:r>
    </w:p>
    <w:p>
      <w:r>
        <w:rPr>
          <w:b/>
        </w:rPr>
        <w:t xml:space="preserve">Quelle: </w:t>
      </w:r>
      <w:r>
        <w:t>https://mcp.opencaselaw.ch/entscheid/bger_1P.193_2003</w:t>
      </w:r>
    </w:p>
    <w:p>
      <w:r>
        <w:t>FR: TF 1P.193/2003 du 26 mars 2003</w:t>
      </w:r>
    </w:p>
    <w:p>
      <w:r>
        <w:t>IT: TF 1P.193/2003 del 26 marzo 2003</w:t>
      </w:r>
    </w:p>
    <w:p>
      <w:pPr>
        <w:pStyle w:val="Heading2"/>
      </w:pPr>
      <w:r>
        <w:t>Regeste</w:t>
      </w:r>
    </w:p>
    <w:p>
      <w:r>
        <w:t>Zuständigkeitsfragen, Garantie des Wohnsitzrichters und des v...</w:t>
      </w:r>
    </w:p>
    <w:p>
      <w:pPr>
        <w:pStyle w:val="Heading2"/>
      </w:pPr>
      <w:r>
        <w:t>Erwägungen</w:t>
      </w:r>
    </w:p>
    <w:p>
      <w:r>
        <w:rPr>
          <w:b/>
        </w:rPr>
        <w:t>E. 1</w:t>
      </w:r>
    </w:p>
    <w:p>
      <w:r>
        <w:t>H.________ reichte am 20. Januar 2003 beim Bezirksamt Muri Strafklage ein wegen Fälschung des Grunddatensatzes zum Grundbuchplan Berikon. Das Bezirksamt Muri teilte dem Anzeiger mit Schreiben vom 22. Januar 2003 mit, dass ein allfälliger Straftatbestand in erster Linie im Bezirk Bremgarten erfüllt wäre, weshalb es die Anzeige an das zuständige Bezirksamt Bremgarten weitergeleitet habe. Am 4. Februar 2003 stellte H.________ bei der Beschwerdekammer in Strafsachen des Obergerichts des Kantons Aargau das Begehren, das Bezirksamt Bremgarten habe in den Ausstand zu treten und das Strafverfahren sei durch das Bezirksamt Muri an die Hand zu nehmen. Das Präsidium der Beschwerdekammer in Strafsachen des Obergerichts des Kantons Aargau wies mit Verfügung vom 21. Februar 2003 das Ablehnungsgesuch ab.</w:t>
      </w:r>
    </w:p>
    <w:p>
      <w:r>
        <w:rPr>
          <w:b/>
        </w:rPr>
        <w:t>E. 2</w:t>
      </w:r>
    </w:p>
    <w:p>
      <w:r>
        <w:t>Gegen diese Verfügung des Präsidiums der Beschwerdekammer in Strafsachen des Obergerichts des Kantons Aargau vom 21. Februar 2003 erhob H.________ mit Eingabe vom 17. März 2003 (Postaufgabe 21. März 2003) staatsrechtliche Beschwerde. Das Bundesgericht verzichtet auf die Einholung von Vernehmlassungen.</w:t>
      </w:r>
    </w:p>
    <w:p>
      <w:r>
        <w:rPr>
          <w:b/>
        </w:rPr>
        <w:t>E. 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Das Präsidium der Beschwerdekammer in Strafsachen legte in den Erwägungen der angefochtenen Verfügung ausführlich dar, weshalb weder das Bezirksamt noch das Bezirksgericht Bremgarten befangen seien. Mit dieser Begründung setzte sich der Beschwerdeführer nicht in einer den Begründungsanforderungen von Art. 90 Abs. 1 lit. b OG genügenden Weise auseinander und legte nicht dar, inwiefern diese Ausführungen verfassungs- oder konventionswidrig sein sollen. Auf die staatsrechtliche Beschwerde kann somit mangels einer genügenden Begründung nicht eingetreten werden.</w:t>
      </w:r>
    </w:p>
    <w:p>
      <w:r>
        <w:rPr>
          <w:b/>
        </w:rPr>
        <w:t>E. 4</w:t>
      </w:r>
    </w:p>
    <w:p>
      <w:r>
        <w:t>Bei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