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1P.17/2002 vom 30. Januar 2002</w:t>
      </w:r>
    </w:p>
    <w:p>
      <w:r>
        <w:t>Bundesgericht, 2002-01-30, FR</w:t>
      </w:r>
    </w:p>
    <w:p>
      <w:r>
        <w:rPr>
          <w:b/>
        </w:rPr>
        <w:t xml:space="preserve">Quelle: </w:t>
      </w:r>
      <w:r>
        <w:t>https://mcp.opencaselaw.ch/entscheid/bger_1P.17_2002</w:t>
      </w:r>
    </w:p>
    <w:p>
      <w:r>
        <w:t>FR: TF 1P.17/2002 du 30 janvier 2002</w:t>
      </w:r>
    </w:p>
    <w:p>
      <w:r>
        <w:t>IT: TF 1P.17/2002 del 30 gennaio 2002</w:t>
      </w:r>
    </w:p>
    <w:p>
      <w:pPr>
        <w:pStyle w:val="Heading2"/>
      </w:pPr>
      <w:r>
        <w:t>Erwägungen</w:t>
      </w:r>
    </w:p>
    <w:p>
      <w:r>
        <w:rPr>
          <w:b/>
        </w:rPr>
        <w:t>E. 1</w:t>
      </w:r>
    </w:p>
    <w:p>
      <w:r>
        <w:t>Le présent arrêt rend sans objet la requête d'effet suspensif.</w:t>
      </w:r>
    </w:p>
    <w:p>
      <w:r>
        <w:rPr>
          <w:b/>
        </w:rPr>
        <w:t>E. 2</w:t>
      </w:r>
    </w:p>
    <w:p>
      <w:r>
        <w:t>Aux termes de l' art. 87 al. 1 OJ (dans sa teneur en vigueur depuis la révision du 8 octobre 1999, entrée en vigueur le 1er mars 2000), le recours de droit public est recevable contre les décisions préjudicielles et incidentes sur la compétence et sur les demandes de récusation, prises séparément; ces décisions ne peuvent être attaquées ultérieurement. Les demandes de récusation mentionnées à l' art. 87 al. 1 OJ sont en premier lieu celles visant un membre de l'autorité compétente (cf. ATF 126 I 207 consid. 1b p. 209); cette disposition doit également s'appliquer en cas de demande de récusation d'un expert judiciaire, pour lequel valent, mutatis mutandis, les exigences du droit constitutionnel et conventionnel en matière d'impartialité (cf. ATF 126 III 249 consid. 3c p. 253; 125 II 541 consid. 4a p. 544 et les arrêts cités).</w:t>
      </w:r>
    </w:p>
    <w:p>
      <w:r>
        <w:t>En procédure civile vaudoise, le juge compétent pour nommer les experts statue sans recours sur la récusation ( art. 222 al. 3 CPC ). Le jugement incident attaqué, rejetant une demande de récusation formée par le recourant, est donc une décision prise en dernière instance cantonale ( art. 86 al. 1 OJ ). Il y a lieu, dès lors, d'entrer en matière.</w:t>
      </w:r>
    </w:p>
    <w:p>
      <w:r>
        <w:rPr>
          <w:b/>
        </w:rPr>
        <w:t>E. 3</w:t>
      </w:r>
    </w:p>
    <w:p>
      <w:r>
        <w:t>Le recourant invoque les garanties du droit constitutionnel (art. 29 al. 1, 30 al. 1 Cst.) et du droit conventionnel ( art. 6 par. 1 CEDH ) en matière d'impartialité des experts judiciaires. Il prétend en outre qu'on ne peut lui reprocher d'avoir déposé tardivement sa requête, car il a demandé la récusation du notaire aussitôt qu'il a eu connaissance de son activité accessoire au sein de l'Université.</w:t>
      </w:r>
    </w:p>
    <w:p>
      <w:r>
        <w:rPr>
          <w:b/>
        </w:rPr>
        <w:t>E. 3.1</w:t>
      </w:r>
    </w:p>
    <w:p>
      <w:r>
        <w:t>Il n'y a pas lieu d'examiner la question de l'éventuelle péremption du droit de demander la récusation de l'expert (cf. ATF 126 I 203 consid. 1b p. 205; 126 III 249 consid. 3c p. 254; 116 Ia 135 consid. 2d p. 138 et les arrêts cités) - ni, partant, celle du caractère prétendument notoire, pour un justiciable représenté par un avocat, de la composition du corps enseignant de la faculté de droit de l'Université du canton concerné - car dans sa motivation sur le fond, le jugement attaqué, refusant de reconnaître une apparence de partialité, n'est pas contraire aux garanties de procédure invoquées par le recourant.</w:t>
      </w:r>
    </w:p>
    <w:p>
      <w:r>
        <w:rPr>
          <w:b/>
        </w:rPr>
        <w:t>E. 3.2</w:t>
      </w:r>
    </w:p>
    <w:p>
      <w:r>
        <w:t>Selon la jurisprudence relative aux art. 29 al. 1 Cst. , 30 al. 1 Cst. et 6 par. 1 CEDH,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127 I 196 consid. 2b p. 198; 126 I 68 consid. 3a p. 73, 168 consid. 2a p. 169; 125 II 541 consid. 4a p. 544 et les arrêts cités).</w:t>
      </w:r>
    </w:p>
    <w:p>
      <w:r>
        <w:t>En l'occurrence, seule est invoquée par le recourant, comme circonstance donnant l'apparence d'une prévention, l'appartenance de l'expert et de l'avocat de la partie adverse au corps enseignant, au sens large, de la faculté de droit de l'Université de Lausanne. Les deux intéressés exercent dans ce cadre une activité accessoire - chargé de cours (cf. art. 42a de la loi cantonale sur l'Université de Lausanne [LUL]), maître assistant (art. 39 LUL) - et à ce titre ne font pas partie du corps professoral (art. 34 ss LUL) ni de plein droit du conseil de faculté (art. 20 al. 1 LUL). On ne voit pas, concrètement et d'après les allégations du recourant, en quoi l'expert se trouverait, en raison de l'organisation de la faculté, dans un rapport de subordination vis-à-vis de l'avocat de l'intimé. Par ailleurs, si l'appartenance des deux intéressés au même corps enseignant peut favoriser des contacts mutuels, lors d'activités scientifiques ou de manière fortuite - les rencontres occasionnelles dans les couloirs des bâtiments de l'Université, mentionnées dans le jugement attaqué -, cela n'est manifestement pas de nature à créer une apparence de prévention. Aucune autre circonstance concrète n'est invoquée. Les griefs du recourant sont dès lors à l'évidence mal fondés.</w:t>
      </w:r>
    </w:p>
    <w:p>
      <w:r>
        <w:rPr>
          <w:b/>
        </w:rPr>
        <w:t>E. 4</w:t>
      </w:r>
    </w:p>
    <w:p>
      <w:r>
        <w:t>Il s'ensuit que le recours de droit public doit être rejeté.</w:t>
      </w:r>
    </w:p>
    <w:p>
      <w:r>
        <w:t>Le recourant, qui succombe, doit payer l'émolument judiciaire ( art. 153, 153a et 156 al. 1 OJ ). L'affaire étant liquidée sans échange d'écritures, il n'y a pas lieu d'allouer des dépens (cf.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