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1P.166/2001 vom 4. Januar 2001</w:t>
      </w:r>
    </w:p>
    <w:p>
      <w:r>
        <w:t>Bundesgericht, 2001-01-04, FR</w:t>
      </w:r>
    </w:p>
    <w:p>
      <w:r>
        <w:rPr>
          <w:b/>
        </w:rPr>
        <w:t xml:space="preserve">Quelle: </w:t>
      </w:r>
      <w:r>
        <w:t>https://mcp.opencaselaw.ch/entscheid/bger_1P.166_2001</w:t>
      </w:r>
    </w:p>
    <w:p>
      <w:r>
        <w:t>FR: TF 1P.166/2001 du 4 janvier 2001</w:t>
      </w:r>
    </w:p>
    <w:p>
      <w:r>
        <w:t>IT: TF 1P.166/2001 del 4 gennaio 2001</w:t>
      </w:r>
    </w:p>
    <w:p>
      <w:pPr>
        <w:pStyle w:val="Heading2"/>
      </w:pPr>
      <w:r>
        <w:t>Regeste</w:t>
      </w:r>
    </w:p>
    <w:p>
      <w:r>
        <w:t>Procédure pénale</w:t>
      </w:r>
    </w:p>
    <w:p>
      <w:pPr>
        <w:pStyle w:val="Heading2"/>
      </w:pPr>
      <w:r>
        <w:t>Erwägungen</w:t>
      </w:r>
    </w:p>
    <w:p>
      <w:r>
        <w:rPr>
          <w:b/>
        </w:rPr>
        <w:t>E. 1</w:t>
      </w:r>
    </w:p>
    <w:p>
      <w:r>
        <w:t>Le recours est interjeté dans le délai et les formes utiles contre un arrêt rendu en dernière instance cantonale. Le recourant a qualité pour agir ( art. 88 OJ ). Les conclusions présentées à titre principal sont recevables, car, par exception à la nature essentiellement cassatoire du recours de droit public, le détenu peut demander, outre l'annulation de l'arrêt attaqué, son élargissement immédiat ( ATF 124 I 327 consid. 4 p. 332). Il n'y a pas lieu de s'interroger sur la recevabilité des conclusions subsidiaires présentées par le recourant, car celles-ci devraient, de toute façon, être rejetées.</w:t>
      </w:r>
    </w:p>
    <w:p>
      <w:r>
        <w:rPr>
          <w:b/>
        </w:rPr>
        <w:t>E. 2</w:t>
      </w:r>
    </w:p>
    <w:p>
      <w:r>
        <w:t>Une mesure de détention préventive n'est compatible avec la liberté personnelle, garantie par l' art. 10 al. 2 Cst. et par l' art. 5 CEDH , que si elle repose sur une base légale ( art. 31 al. 1 et art. 36 al. 1 Cst. ), soit en l'espèce l'art. 59 du code de procédure pénale vaudois (CPP/VD).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ch. 1, 2 et 3 CPP /VD). La gravité de l'infraction - et l'importance de la peine encourue - n'est, à elle seule, pas suffisante ( ATF 117 Ia 70 consid. 4a). Préalablement à ces conditions, il doit exister à l'égard de l'intéressé des charges suffisantes ( art. 5 par. 1 let . c CEDH; ATF 116 Ia 144 consid. 3).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w:t>
      </w:r>
    </w:p>
    <w:p>
      <w:r>
        <w:rPr>
          <w:b/>
        </w:rPr>
        <w:t>E. 3</w:t>
      </w:r>
    </w:p>
    <w:p>
      <w:r>
        <w:t>Le recourant conteste l'existence de charges suffisantes. Il relève que l'arrêt attaqué évoque un trafic de plusieurs kilos de drogue, alors que les soupçons portent sur l'acquisition de 800 g et la tentative d'acquérir 800 autres grammes. Par ailleurs, le recourant a été mis en cause et inculpé pour avoir écoulé un kilo de cocaïne. Le recourant relève que 800 g devaient lui être remis le jour de son arrestation, alors que le prix de la marchandise n'a pas été trouvé sur lui. Les déclarations le mettant en cause seraient entachées de contradictions sur la marchandise, son prix et les personnes en présence. Rien ne permettrait de penser que le recourant serait lié à un trafic international. La cour cantonale aurait par ailleurs violé la présomption d'innocence en retenant qu'au vu de ses antécédents et des actes reprochés, le recourant "s'expose à une lourde peine privative de liberté". Ces arguments sont manifestement mal fondés. a) Appelé à se prononcer sur la constitutionnalité d'une décision de maintien en détention préventive, le Tribunal fédéral n'a pas à procéder à une pesée complète des éléments à charge et à décharge, ni à apprécier la crédibilité des personnes ou des éléments de preuve mettant en cause le prévenu. Il doit uniquement examiner s'il existe des indices sérieux de culpabilité justifiant une telle mesure ( ATF 116 Ia 143 consid. 3c p. 146). L'intensité des charges n'est par ailleurs pas la même aux divers stades de l'instruction pénale; si des soupçons encore peu précis peuvent être suffisants dans les premiers temps de l'enquête, la perspective d'une condamnation doit apparaître vraisemblable après l'accomplissement des actes d'instruction envisageables (arrêt non publié F. du 27 novembre 1991, non reproduit sur ce point in SJ 1992, p. 191). b) En l'espèce, le recourant est formellement mis en cause pour avoir participé à un trafic de stupéfiants portant, à tout le moins, sur une quantité comprise entre 620 g et un kilo de cocaïne. Cela ressort en particulier des déclarations de B.________ qui a fait état, dans un premier temps, d'une commande d'un kilo de drogue, ce qu'il a confirmé lors d'une confrontation avec le recourant. B.________ a certes varié sur les quantités effectivement remises, ainsi que sur le prix payé et le solde encore dû, mais, à ce stade de l'enquête, les charges sont manifestement suffisantes, même si le rôle du recourant n'a pu être complètement élucidé. Si l'arrêt attaqué mentionne plusieurs kilos de drogue, cela se rapporte à l'ensemble du trafic dans lequel le recourant peut n'être que partiellement impliqué. c) La présomption d'innocence ( art. 6 par. 2 CEDH , 32 al. 1 Cst.) empêche l'autorité de désigner une personne comme coupable, sans réserve et sans nuance, en préjugeant de l'appréciation des faits par le juge du fond. Au stade de la détention préventive, l'autorité doit faire état de soupçons suffisants sans pour autant tenir la culpabilité de l'inculpé pour définitivement acquise ( ATF 124 I 327 consid. 3c p. 331/ 332). En l'espèce, la considération selon laquelle le recourant "s'expose à une lourde peine privative de liberté", précédée de la mention des "actes qui lui sont reprochés" est suffisamment prudente et nuancée; elle ne fait en aucune manière ressortir que la cour cantonale aurait préjugé du fond.</w:t>
      </w:r>
    </w:p>
    <w:p>
      <w:r>
        <w:rPr>
          <w:b/>
        </w:rPr>
        <w:t>E. 4</w:t>
      </w:r>
    </w:p>
    <w:p>
      <w:r>
        <w:t>Le recourant conteste les risques de récidive et de fuite. En cas de mise en liberté, il devrait poursuivre l'exécution de la peine prononcée par les autorités genevoises. Cela réduirait également le risque de collusion. La cour cantonale n'aurait pas examiné cet argument. Il n'y a toutefois pas de violation de l'obligation de motiver, car l'argument est à ce point manifestement mal fondé qu'il n'appelait pas de réponse spécifique de la part de la cour cantonale. Le recourant passe en effet sous silence qu'il se trouvait, au moment de son arrestation, en régime de semi-liberté (après une seconde condamnation pour violation de la LStup), dont il aurait profité pour se livrer aux agissements qui lui sont actuellement reprochés. Cela rend particulièrement évident le risque de réitération retenu par le juge d'instruction et la cour cantonale. Le risque de collusion apparaît lui aussi incontestable, car il est à craindre que le recourant ne profite de sa liberté, ou d'un régime plus favorable d'exécution de peine, pour tenter de faire pression sur les personnes qui le mettent actuellement en cause.</w:t>
      </w:r>
    </w:p>
    <w:p>
      <w:r>
        <w:rPr>
          <w:b/>
        </w:rPr>
        <w:t>E. 5</w:t>
      </w:r>
    </w:p>
    <w:p>
      <w:r>
        <w:t>Sur le vu de ce qui précède, le recours de droit public apparaît manifestement mal fondé. Cette issue était d'emblée prévisible, ce qui conduit au rejet de la demande d'assistance judiciaire.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