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1P.163/2000 vom 21. Juni 2000</w:t>
      </w:r>
    </w:p>
    <w:p>
      <w:r>
        <w:t>Bundesgericht, 2000-06-21, DE</w:t>
      </w:r>
    </w:p>
    <w:p>
      <w:r>
        <w:rPr>
          <w:b/>
        </w:rPr>
        <w:t xml:space="preserve">Quelle: </w:t>
      </w:r>
      <w:r>
        <w:t>https://mcp.opencaselaw.ch/entscheid/bger_1P.163_2000</w:t>
      </w:r>
    </w:p>
    <w:p>
      <w:r>
        <w:t>FR: TF 1P.163/2000 du 21 juin 2000</w:t>
      </w:r>
    </w:p>
    <w:p>
      <w:r>
        <w:t>IT: TF 1P.163/2000 del 21 giugno 2000</w:t>
      </w:r>
    </w:p>
    <w:p>
      <w:pPr>
        <w:pStyle w:val="Heading2"/>
      </w:pPr>
      <w:r>
        <w:t>Regeste</w:t>
      </w:r>
    </w:p>
    <w:p>
      <w:r>
        <w:t>Raumplanung und öffentliches Baurecht</w:t>
      </w:r>
    </w:p>
    <w:p>
      <w:pPr>
        <w:pStyle w:val="Heading2"/>
      </w:pPr>
      <w:r>
        <w:t>Erwägungen</w:t>
      </w:r>
    </w:p>
    <w:p>
      <w:r>
        <w:rPr>
          <w:b/>
        </w:rPr>
        <w:t>E. 1</w:t>
      </w:r>
    </w:p>
    <w:p>
      <w:r>
        <w:t>Die Beschwerdeführerin ist durch den angefochtenen Entscheid als Trägerin hoheitlicher Gewalt betroffen. Siekann sich daher auf ihre Autonomie berufen. Ob ihr im betreffenden Bereich Autonomie zusteht, ist gemäss bundesgerichtlicher Praxis nicht eine Frage des Eintretens, sondern der materiellrechtlichen Beurteilung ( BGE 124 I 223 E. 1b S. 226; 118 Ib 446 E. 3a, je mit Hinweisen). Auf die staatsrechtliche Beschwerde ist einzutreten.</w:t>
      </w:r>
    </w:p>
    <w:p>
      <w:r>
        <w:rPr>
          <w:b/>
        </w:rPr>
        <w:t>E. 2</w:t>
      </w:r>
    </w:p>
    <w:p>
      <w:r>
        <w:t>a) Die Gemeindeautonomie ist nach Massgabe des kantonalen Rechts gewährleistet ( Art. 50 Abs. 1 BV ). Ob eine Gemeinde autonom ist, beurteilt sich daher nach dem einschlägigen kantonalen Recht. Eine Gemeinde ist in einem Sachbereich autonom, wenn das kantonale Recht diesen nicht abschliessend ordnet, sondern ihn ganz oder teilweise der Gemeinde zur Regelung überlässt und ihr dabei eine relativ erhebliche Entscheidungsfreiheit einräumt ( BGE 124 I 223 E. 2b S. 226 f.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Es ist von Fall zu Fall zu prüfen, ob die Gemeinde im Rahmen der Streitfrage selbst über Gestaltungsfreiheit verfügt ( BGE 124 I 223 E. 2b S. 227 ; 122 I 279 E. 8b S. 290; 119 Ia 285 E. 4b S. 294 f., je mit Hinweisen). Autonomie im Vollzug von kantonalem Recht kann bestehen, wenn die Gemeinde für den (erstinstanzlichen) Vollzug zuständig ist und die zu beurteilende Materie für ein Selbstbestimmungsrecht der einzelnen Gemeinden Raum lässt ( BGE 119 Ia 214 E. 3b/c S. 219 f.). Auch kann sich eine Gemeinde auf ihre Autonomie berufen, wenn die Kompetenz zur Erteilung von Baubewilligungen einer kantonalen Behörde zusteht und die Auslegung und Anwendung kommunaler Vorschriften umstritten ist ( BGE 116 Ia 52 E. 2a S. 55). b) Umstritten ist vorliegend der Abbruch von Bauten, für die nach den kommunalen Zonenvorschriften keine Baubewilligung erteilt werden kann. Die Beschwerdeführerin beruft sich auf bisherige Urteile des Bundesgerichts, in denen die Autonomie der basel-landschaftlichen Gemeinden in Bau- und Planungssachen festgestellt wurde ( BGE 114 Ia 371 E. 2b S. 372 f.; 110 Ia 167 E. 7a/aa S. 170; 108 Ia 33 E. 3a S. 36, je mit Hinweisen). Die Verweigerung der Baubewilligung und die Anordnung eines Abbruchs sind baupolizeiliche Massnahmen. Gemäss § 113 des hier noch anwendbaren (vgl. § 139 Abs. 2 des Raumplanungs- und Baugesetzes vom 8. Januar 1998, RBG) kantonalen Baugesetzes vom 15. Juni 1967 (BauG) ist die Organisation des Baupolizeiwesens Sache des Kantons. Baubewilligungsbehörde ist, von hier nicht zutreffenden Ausnahmen abgesehen, die kantonale Baudirektion (§ 117 Abs. 1 BauG). Sie erlässt Verfügungen über die Einstellung von Bauarbeiten und die Beseitigung widerrechtlicher Bauten (§ 137 und 138 BauG). Dieselbe Regelung gilt auch nach dem neuen Recht (§ 118 Abs. 1, 137 und 138 RBG). Erstinstanzliche Baubewilligungsbehörde für die fraglichen Bauten war somit das kantonale Bauinspektorat. Dieses hat auch die erstinstanzliche, vom Verwaltungsgericht im angefochtenen Entscheid aufgehobene Abbruchverfügung erlassen. Die Gemeinde erlässt die Zonenvorschriften (§§ 3 und 13 ff. BauG bzw. §§ 2 und 18 RBG) und kann gegen Bauvorhaben Einsprache und Beschwerde erheben (§ 127 Abs. 3 und § 133 Abs. 1 RBG bzw. § 123 Abs. 2 und 127 Abs. 1 BauG). Nach der bundesgerichtlichen Rechtsprechung können sich die Gemeinden bei der Anwendung der von ihnen erlassenen Vorschriften im Baubewilligungsverfahren auf die Gemeindeautonomie berufen, selbst wenn eine kantonale Behörde zur erstinstanzlichen Bewilligungserteilung zuständig ist ( BGE 116 Ia 52 E. 2a S. 55). Indessen ist vorliegend unbestritten, dass die Garagen der privaten Beschwerdegegner den kommunalen Zonenvorschriften widersprechen. Das Verwaltungsgericht hat denn auch im angefochtenen Entscheid bestätigt, dass die Bauten nicht bewilligt werden können. c) Umstritten ist einzig, ob das Verwaltungsgericht aus Gründen der Verhältnismässigkeit auf die Anordnung des Abbruchs der Garagen verzichten durfte. Dies ist nicht mehr eine Frage der Anwendung kommunaler Zonenvorschriften, sondern betrifft die Wiederherstellung des rechtmässigen Zustands, welche im kantonalen Recht geregelt ist (§ 138 Abs. 1 BauG bzw. § 138 Abs. 1 RBG). Die Auslegung und Anwendung dieser kantonalen Bestimmungen hat keinen Einfluss auf die Entscheidungsbefugnisse und Entscheidungsfreiheit der Gemeinde. Zwar macht der Regierungsrat geltend, mit dem angefochtenen Entscheid werde eine widerrechtliche Überschreitung der von der Gemeinde festgesetzten Bebauungsziffer um rund 33 % sanktioniert, und die Gemeinde Biel-Benken befürchtet, dass das kommunale Zonenreglement durch die vom Verwaltungsgericht vorgenommene Ausdehnung des Verhältnismässigkeitsprinzips praktisch aufgehoben werde, weil in Zukunft jeder Bauherr bewusst und bösgläubig den Bauvorschriften widersprechende Bauten errichten könne, ohne ernsthafte Folgen befürchten zu müssen. Das wären höchstens indirekte, keineswegs zwingende Folgen der verwaltungsgerichtlichen Praxis. Es ist zu beachten, dass der Grundsatz der Gesetzmässigkeit der Verwaltung dem Rechtsgleichheitsprinzip in der Regel vorgeht. Hat eine Behörde in einem Fall eine von der gesetzlichen Regelung abweichende Entscheidung getroffen, so gibt dies dem Bürger, der sich in der gleichen Lage befindet, grundsätzlich keinen Anspruch darauf, ebenfalls abweichend von der Norm behandelt zu werden ( BGE 122 II 446 E. 4a S. 451; 117 Ib 226 E. 3f S. 270, 414 E. 8c S. 425; 116 Ib 228 E. 4 S. 234 f.). Das Verwaltungsgericht hat im vorliegenden Fall zwar eine Abweichung vom rechtmässigen Zustand aus Gründen der Verhältnismässigkeit zugelassen, doch hat es nicht generell den Abbruch reglementswidriger Bauten als unverhältnismässig erachtet, sondern eingeschränkt auf die im angefochtenen Entscheid genannten besonderen Umstände eine Interessenabwägung vorgenommen. Diese Beurteilung der konkreten Situation tangiert die Autonomie der Gemeinde bei der Schaffung ihrer Zonenordnung nicht. Die Beurteilung von Fragen der Beseitigung widerrechtlicher Zustände obliegt nach der basel-landschaftlichen Zuständigkeitsregelung allein den kantonalen Behörden, die eine angemessene Praxis zur Anwendung des einschlägigen kantonalen Rechts zu bilden haben. Unter diesen Umständen ist die Gemeindeautonomie beim Entscheid der zuständigen kantonalen Behörden über die Beseitigung des vorschriftswidrigen Zustands nicht betroffen. d) Besteht mithin in Bezug auf die Frage der Wiederherstellung des rechtmässigen Zustands keine Gemeindeautonomie, so kann das Bundesgericht nicht überprüfen, ob das Verwaltungsgericht den Grundsatz der Verhältnismässigkeit richtig angewendet hat.</w:t>
      </w:r>
    </w:p>
    <w:p>
      <w:r>
        <w:rPr>
          <w:b/>
        </w:rPr>
        <w:t>E. 3</w:t>
      </w:r>
    </w:p>
    <w:p>
      <w:r>
        <w:t>Die staatsrechtliche Beschwerde erweist sich damit als unbegründet. Der unterliegenden Beschwerdeführerin werden keine Gerichtskosten auferlegt ( Art. 156 Abs. 2 OG ). Sie hat indessen den obsiegenden privaten Beschwerdegegnern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