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1P.157/2006 vom 4. Dezember 2006</w:t>
      </w:r>
    </w:p>
    <w:p>
      <w:r>
        <w:t>Bundesgericht, 2006-12-04, DE</w:t>
      </w:r>
    </w:p>
    <w:p>
      <w:r>
        <w:rPr>
          <w:b/>
        </w:rPr>
        <w:t xml:space="preserve">Quelle: </w:t>
      </w:r>
      <w:r>
        <w:t>https://mcp.opencaselaw.ch/entscheid/bger_1P.157_2006</w:t>
      </w:r>
    </w:p>
    <w:p>
      <w:r>
        <w:t>FR: TF 1P.157/2006 du 4 décembre 2006</w:t>
      </w:r>
    </w:p>
    <w:p>
      <w:r>
        <w:t>IT: TF 1P.157/2006 del 4 dicembre 2006</w:t>
      </w:r>
    </w:p>
    <w:p>
      <w:pPr>
        <w:pStyle w:val="Heading2"/>
      </w:pPr>
      <w:r>
        <w:t>Regeste</w:t>
      </w:r>
    </w:p>
    <w:p>
      <w:r>
        <w:t>Aufhebung einer Strassenzufahrt | Raumplanung und öffentliches Baurecht</w:t>
      </w:r>
    </w:p>
    <w:p>
      <w:pPr>
        <w:pStyle w:val="Heading2"/>
      </w:pPr>
      <w:r>
        <w:t>Erwägungen</w:t>
      </w:r>
    </w:p>
    <w:p>
      <w:r>
        <w:rPr>
          <w:b/>
        </w:rPr>
        <w:t>E. 1.1</w:t>
      </w:r>
    </w:p>
    <w:p>
      <w:r>
        <w:t>Der angefochtene Entscheid ist kantonal letztinstanzlich; dagegen steht im Bund kein anderes Rechtsmittel als die staatsrechtliche Beschwerde offen ( Art. 84 Abs. 2 und Art. 86 OG ). Fraglich ist hingegen, ob die Beschwerdeführer in der Sache zur Beschwerde legitimiert sind. Die Legitimation bestimmt sich ausschliesslich nach Art. 88 OG ; sie ist unabhängig von der verfahrensrechtlichen Stellung, welche die Beschwerdeführer im kantonalen Verfahren eingenommen haben. Verlangt wird eine Beeinträchtigung in den eigenen rechtlich geschützten Interessen ( BGE 126 I 43 E. 1a S. 44 ; 123 I 279 E. 3b S. 280). Gemäss Art. 90 Abs. 1 lit. b OG müssen in der staatsrechtlichen Beschwerde unter anderem die wesentlichen Tatsachen dargelegt werden; andernfalls ist auf das Rechtsmittel nicht einzutreten. Dieser Grundsatz gilt auch für diejenigen Tatsachen, auf welche die Beschwerdeführer ihre Legitimation gründen ( BGE 125 I 173 E. 1b S. 175 mit Hinweis).</w:t>
      </w:r>
    </w:p>
    <w:p>
      <w:r>
        <w:rPr>
          <w:b/>
        </w:rPr>
        <w:t>E. 1.2</w:t>
      </w:r>
    </w:p>
    <w:p>
      <w:r>
        <w:t>Nach Meinung der Beschwerdeführer wird im vorliegenden Fall ihre Wirtschaftsfreiheit ( Art. 27 BV ) verletzt. Zusätzlich rufen sie die Eigentumsgarantie ( Art. 26 BV ) an: Dem Beschwerdeführer 1 gehört die Werkstatt als Fahrnisbaute; die SBB hat dem Beschwerdeführer 2 in Vollzug des Vertrags vom 8. Februar 2005 die Parzelle Nr. 8379, samt dem Miteigentumsanteil an Parzelle Nr. 8255, überschrieben. Nach der jüngeren Rechtsprechung des Bundesgerichts kann sich der Strassenanstösser unter Berufung auf die Eigentumsgarantie ( Art. 26 BV ) gegen ein Verkehrsregime zur Wehr setzen, das ihm die bestimmungsgemässe Nutzung seiner Liegenschaft verunmöglicht oder übermässig erschwert ( BGE 131 I 12 E. 1.3.3 S. 16 mit Hinweis). In gleicher Weise kann sich ein Gewerbetreibender als Strassenanstösser auf die Wirtschaftsfreiheit ( Art. 27 BV ) berufen, wenn die Aufrechterhaltung der Strassenbenutzung Voraussetzung für die Ausübung seines Gewerbes bildet ( BGE 126 I 213 E. 1b/aa S. 215 mit Hinweis).</w:t>
      </w:r>
    </w:p>
    <w:p>
      <w:r>
        <w:rPr>
          <w:b/>
        </w:rPr>
        <w:t>E. 1.3</w:t>
      </w:r>
    </w:p>
    <w:p>
      <w:r>
        <w:t>Im kantonalen Verfahren hatten die Beschwerdeführer ursprünglich die Verlegung des Fusswegs auf der östlichen Werkstattseite angefochten. Sie wehrten sich gegen den insoweit erfolgten Widerruf der Mutation Nr. 1153. Die umstrittene neue Wegführung lässt zu wenig Raum, um mit Motorfahrzeugen seitlich - von Südosten her - ab der Grubenstrasse vor den Karosseriebetrieb der Beschwerdeführer zu fahren. Eine rückwärtige Zufahrt über die Wegparzelle Nr. 8255 scheint jedoch möglich zu sein; mit anderen Worten kann von dort hinten um die Baute herum zu den Garagentoren auf der Ostseite gefahren werden. Nichts anderes ergibt sich aus den von den Beschwerdeführern eingereichten Fotografien.</w:t>
      </w:r>
    </w:p>
    <w:p>
      <w:r>
        <w:rPr>
          <w:b/>
        </w:rPr>
        <w:t>E. 1.4</w:t>
      </w:r>
    </w:p>
    <w:p>
      <w:r>
        <w:t>Es mag zutreffen, dass eine ausschliessliche Erschliessung über den Zufahrtsweg auf Parzelle Nr. 8255 für den Betrieb der Beschwerdeführer weniger attraktiv ist als die von ihnen bevorzugte seitliche Zufahrt auf der Südostseite. Dies allein vermag ihre Legitimation im vorliegenden Verfahren indessen noch nicht zu begründen. Weiter bringen die Beschwerdeführer in unbestimmter Weise vor, der Bau einer grundstücksinternen Zufahrt von der Wegparzelle Nr. 8255 zu den bestehenden Garagentoren verursache ihnen Kosten. Sie könnten sich auch den Einbau eines Garagentors an der Westseite der Werkstatt nicht leisten. Die Beschwerdeführer behaupten aber nicht, sie seien von der Gemeinde zu derartigen baulichen Massnahmen verpflichtet worden. Ebenso wenig zeigen sie auf, inwiefern sie für die Weiterführung des Betriebs auf die umstrittene, seitliche Zufahrt angewiesen sind. Nicht nachvollziehbar ist schliesslich ihr Argument, eine Zufahrt über die Parzelle Nr. 8255 verunmögliche einen Ersatz der bestehenden Werkstatt durch ein neues Gebäude im nördlichen Grundstücksteil. Nicht dargetan sind demzufolge die wesentlichen Tatsachen zur Beurteilung der Frage, ob die bestimmungsgemässe Nutzung von Parzelle Nr. 8379 bzw. der Baute Nr. 1612 ohne eine seitliche Zufahrt von Südosten her faktisch verunmöglicht oder übermässig erschwert wird. Damit fehlt es an einer rechtsgenüglichen Begründung der Legitimationsvoraussetzungen für die Anrufung der Eigentumsgarantie oder der Wirtschaftsfreiheit. Insoweit kann auf die Beschwerde nicht eingetreten werden.</w:t>
      </w:r>
    </w:p>
    <w:p>
      <w:r>
        <w:rPr>
          <w:b/>
        </w:rPr>
        <w:t>E. 2</w:t>
      </w:r>
    </w:p>
    <w:p>
      <w:r>
        <w:t>Trotz fehlender Legitimation in der Sache kann ein Beschwerdeführer mit staatsrechtlicher Beschwerde die Verletzung von Verfahrensgarantien rügen, deren Missachtung eine formelle Rechtsverweigerung darstellt ( BGE 129 II 297 E. 2.3 S. 301 ; 126 I 81 E. 7b S. 94, je mit Hinweisen). Dieser Grundsatz gilt namentlich, wenn eine mangelhafte Anhörung geltend gemacht wird (vgl. BGE 129 I 217 E. 1.4 S. 222).</w:t>
      </w:r>
    </w:p>
    <w:p>
      <w:r>
        <w:rPr>
          <w:b/>
        </w:rPr>
        <w:t>E. 2.1</w:t>
      </w:r>
    </w:p>
    <w:p>
      <w:r>
        <w:t>Im angefochtenen Entscheid wurde - im Rahmen der dort überprüften Legitimationsfrage - erwogen, auch der Beschwerdeführer 1 müsse sich den Inhalt des Vertrags vom 8. Februar 2005 entgegen halten lassen. Zwar sei er formell nicht daran beteiligt gewesen. Die beiden Beschwerdeführer seien aber im Zusammenhang mit der Auseinandersetzung um die Werkstatt implizit als einfache Gesellschaft im Sinne von Art. 530 ff. OR aufgetreten. Vermutungsweise habe die kommunale Baubehörde davon ausgehen dürfen, dass der Beschwerdeführer 2 bei Vertragsabschluss eine Vertretungsbefugnis für den Beschwerdeführer 1 besessen habe. Widrigenfalls würde dem Beschwerdeführer 1, nach der erfolgten Übertragung von Parzelle Nr. 8379 an den Beschwerdeführer 2, die für die Legitimation erforderliche Beziehungsnähe zur Streitsache fehlen; jedenfalls hätte er bereits in der Rekursschrift an die Baurekurskommission näher darlegen müssen, inwiefern er in einem solchen Fall von der angefochtenen Verfügung in besonderer Weise betroffen sei.</w:t>
      </w:r>
    </w:p>
    <w:p>
      <w:r>
        <w:rPr>
          <w:b/>
        </w:rPr>
        <w:t>E. 2.2</w:t>
      </w:r>
    </w:p>
    <w:p>
      <w:r>
        <w:t>Die Würdigung des Rechtsverhältnisses unter den Beschwerdeführern kann nicht auf dem Umweg über eine Gehörsrüge zur Diskussion gestellt werden. Nach der Beschwerdeschrift ist es jedoch überspitzt formalistisch, wenn das kantonale Gericht vom Beschwerdeführer 1 verlange, dass er seine eigene Legitimation bereits im Rekursverfahren vor der Baurekurskommission hätte dartun müssen. Statt dessen hätte er dort Gelegenheit erhalten sollen, diesen Punkt nachträglich zu begründen. Das Gericht habe zu Unrecht nicht in Rechnung gestellt, dass die Beschwerdeführer jene Rekurseingabe als juristische Laien selbst verfasst hätten.</w:t>
      </w:r>
    </w:p>
    <w:p>
      <w:r>
        <w:rPr>
          <w:b/>
        </w:rPr>
        <w:t>E. 2.3</w:t>
      </w:r>
    </w:p>
    <w:p>
      <w:r>
        <w:t>Der betreffende Verfassungsvorwurf stösst ins Leere. Das Verwaltungsgericht hat mit der umstrittenen Erwägung im Ergebnis nicht ein nachträgliches Äusserungsrecht zur Legitimationsfrage vor der Baurekurskommission beschnitten. Wie aus den Feststellungen im angefochtenen Entscheid folgt, haben die Beschwerdeführer weder vor der Baurekurskommission noch im Verfahren vor dem Verwaltungsgericht Anhaltspunkte für divergierende Interessen geäussert. In der Beschwerde an das Verwaltungsgericht haben sie lediglich ausgeführt, der Beschwerdeführer 1 habe den Vertrag nicht unterzeichnet. Vor diesem Hintergrund war nicht nur die Baurekurskommission, sondern auch das Verwaltungsgericht nicht gehalten, dem Beschwerdeführer 1 von sich aus Gelegenheit zu einer ergänzenden Begründung seiner eigenen Legitimation zu geben. Im Übrigen haben die Beschwerdeführer im Verfahren vor dem Verwaltungsgericht einen berufsmässigen Parteivertreter mit der Interessenwahrung beauftragt. Es kann somit keine Rolle spielen, dass sie vor der Baurekurskommission ohne Parteivertretung prozessiert haben.</w:t>
      </w:r>
    </w:p>
    <w:p>
      <w:r>
        <w:rPr>
          <w:b/>
        </w:rPr>
        <w:t>E. 2.4</w:t>
      </w:r>
    </w:p>
    <w:p>
      <w:r>
        <w:t>An diesem Ergebnis ändert nichts, wenn die Beschwerdeführer vor dem Bundesgericht schildern, dass der Beschwerdeführer 1 der Beschwerdegegnerin seine Ablehnung des Vertragswerks bereits vor Vertragsabschluss mitgeteilt habe. Dabei handelt es sich um Noven; diese können im Verfahren der staatsrechtlichen Beschwerde - von hier nicht betroffenen Ausnahmen abgesehen - nicht berücksichtigt werden ( BGE 129 I 49 E. 3 S. 57 mit Hinweisen).</w:t>
      </w:r>
    </w:p>
    <w:p>
      <w:r>
        <w:rPr>
          <w:b/>
        </w:rPr>
        <w:t>E. 3</w:t>
      </w:r>
    </w:p>
    <w:p>
      <w:r>
        <w:t>Auf die Beschwerde kann auch nicht eingetreten werden, soweit dem Verwaltungsgericht damit - ausserhalb der bei E. 2 erörterten Beanstandungen - eine willkürliche Tatsachenfeststellung und Rechtsanwendung vorgeworfen wird. Hierbei legen die Beschwerdeführer in appellatorischer Weise ihre Sicht dar und bezeichnen die davon abweichende Würdigung im angefochtenen Entscheid jeweils als willkürlich bzw. verfehlt. Eine derartige Begründung der Willkürrüge genügt den Anforderungen von Art. 90 Abs. 1 lit. b OG nicht. Nach der bundesgerichtlichen Rechtsprechung zu dieser Bestimmung muss ein Beschwerdeführer anhand der angefochtenen Subsumtion im Einzelnen dartun, inwiefern der Entscheid an einem qualifizierten und offensichtlichen Mangel leidet, wenn er - wie hier - eine Verletzung des Willkürverbots geltend macht ( BGE 130 I 258 E. 1.3 S. 262).</w:t>
      </w:r>
    </w:p>
    <w:p>
      <w:r>
        <w:rPr>
          <w:b/>
        </w:rPr>
        <w:t>E. 4</w:t>
      </w:r>
    </w:p>
    <w:p>
      <w:r>
        <w:t>Nach dem Gesagten ist die Beschwerde abzuweisen, soweit darauf eingetreten werden kann. Bei diesem Verfahrensausgang tragen die Beschwerdeführer die Gerichtskosten ( Art. 156 Abs. 1 und Abs. 7 OG ). Sie haben die Beschwerdegegnerin angemessen zu entschädigen ( Art. 159 Abs. 2 und Abs. 5 OG ). Da sich die Gemeindebehörde im bundesgerichtlichen Verfahren durch denselben Anwalt wie die Beschwerdegegnerin vertreten lassen hat, kann ihr von vorneherein keine zusätzliche Entschädigung zustehen.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